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right="70" w:rightChars="0" w:hanging="18" w:firstLineChars="0"/>
        <w:jc w:val="center"/>
        <w:rPr>
          <w:rFonts w:hint="default" w:ascii="Times New Roman" w:hAnsi="Times New Roman" w:eastAsia="宋体" w:cs="Times New Roman"/>
          <w:color w:val="auto"/>
          <w:sz w:val="44"/>
          <w:szCs w:val="44"/>
          <w:lang w:eastAsia="zh-CN"/>
        </w:rPr>
      </w:pPr>
      <w:r>
        <w:rPr>
          <w:rFonts w:hint="default" w:ascii="Times New Roman" w:hAnsi="Times New Roman" w:eastAsia="宋体" w:cs="Times New Roman"/>
          <w:color w:val="auto"/>
          <w:sz w:val="44"/>
          <w:szCs w:val="44"/>
          <w:lang w:eastAsia="zh-CN"/>
        </w:rPr>
        <w:t>动物医学院202</w:t>
      </w:r>
      <w:r>
        <w:rPr>
          <w:rFonts w:hint="default" w:ascii="Times New Roman" w:hAnsi="Times New Roman" w:eastAsia="宋体" w:cs="Times New Roman"/>
          <w:color w:val="auto"/>
          <w:spacing w:val="-114"/>
          <w:sz w:val="44"/>
          <w:szCs w:val="44"/>
          <w:lang w:eastAsia="zh-CN"/>
        </w:rPr>
        <w:t>1</w:t>
      </w:r>
      <w:r>
        <w:rPr>
          <w:rFonts w:hint="default" w:ascii="Times New Roman" w:hAnsi="Times New Roman" w:eastAsia="宋体" w:cs="Times New Roman"/>
          <w:color w:val="auto"/>
          <w:sz w:val="44"/>
          <w:szCs w:val="44"/>
          <w:lang w:eastAsia="zh-CN"/>
        </w:rPr>
        <w:t>年研究生复试录取</w:t>
      </w:r>
    </w:p>
    <w:p>
      <w:pPr>
        <w:spacing w:line="360" w:lineRule="auto"/>
        <w:ind w:left="0" w:leftChars="0" w:right="70" w:rightChars="0" w:hanging="18" w:firstLineChars="0"/>
        <w:jc w:val="center"/>
        <w:rPr>
          <w:rFonts w:hint="default" w:ascii="Times New Roman" w:hAnsi="Times New Roman" w:eastAsia="宋体" w:cs="Times New Roman"/>
          <w:color w:val="auto"/>
          <w:sz w:val="44"/>
          <w:szCs w:val="44"/>
          <w:lang w:eastAsia="zh-CN"/>
        </w:rPr>
      </w:pPr>
      <w:r>
        <w:rPr>
          <w:rFonts w:hint="default" w:ascii="Times New Roman" w:hAnsi="Times New Roman" w:eastAsia="宋体" w:cs="Times New Roman"/>
          <w:color w:val="auto"/>
          <w:sz w:val="44"/>
          <w:szCs w:val="44"/>
          <w:lang w:eastAsia="zh-CN"/>
        </w:rPr>
        <w:t>工作实施细则</w:t>
      </w:r>
    </w:p>
    <w:p>
      <w:pPr>
        <w:spacing w:before="13"/>
        <w:rPr>
          <w:rFonts w:hint="default" w:ascii="Times New Roman" w:hAnsi="Times New Roman" w:eastAsia="宋体" w:cs="Times New Roman"/>
          <w:color w:val="auto"/>
          <w:sz w:val="9"/>
          <w:szCs w:val="9"/>
          <w:lang w:eastAsia="zh-CN"/>
        </w:rPr>
      </w:pPr>
    </w:p>
    <w:p>
      <w:pPr>
        <w:pStyle w:val="3"/>
        <w:spacing w:before="0"/>
        <w:ind w:left="753" w:right="109"/>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一、组织领导</w:t>
      </w:r>
    </w:p>
    <w:p>
      <w:pPr>
        <w:pStyle w:val="3"/>
        <w:spacing w:before="140" w:line="321" w:lineRule="auto"/>
        <w:ind w:right="109" w:firstLine="640"/>
        <w:rPr>
          <w:rFonts w:hint="default" w:ascii="Times New Roman" w:hAnsi="Times New Roman" w:cs="Times New Roman"/>
          <w:color w:val="auto"/>
          <w:lang w:eastAsia="zh-CN"/>
        </w:rPr>
      </w:pPr>
      <w:r>
        <w:rPr>
          <w:rFonts w:hint="default" w:ascii="Times New Roman" w:hAnsi="Times New Roman" w:cs="Times New Roman"/>
          <w:color w:val="auto"/>
          <w:lang w:eastAsia="zh-CN"/>
        </w:rPr>
        <w:t>（一）学院成立研究生招生工作小组，设监督员一名，负责本学院硕士研究生招生复试录取工作的组织、管理和监督。</w:t>
      </w:r>
    </w:p>
    <w:p>
      <w:pPr>
        <w:pStyle w:val="3"/>
        <w:spacing w:before="34" w:line="321" w:lineRule="auto"/>
        <w:ind w:right="109" w:firstLine="64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（二）各专业（领域）成立硕士研究生招生复试小组。复试小组</w:t>
      </w:r>
      <w:r>
        <w:rPr>
          <w:rFonts w:hint="default" w:ascii="Times New Roman" w:hAnsi="Times New Roman" w:cs="Times New Roman"/>
          <w:color w:val="auto"/>
          <w:spacing w:val="-4"/>
          <w:lang w:eastAsia="zh-CN"/>
        </w:rPr>
        <w:t>组织本专业（领域）考生的综合测试（专业课考试、面试、英语听力、</w:t>
      </w:r>
      <w:r>
        <w:rPr>
          <w:rFonts w:hint="default" w:ascii="Times New Roman" w:hAnsi="Times New Roman" w:cs="Times New Roman"/>
          <w:color w:val="auto"/>
          <w:lang w:eastAsia="zh-CN"/>
        </w:rPr>
        <w:t>英语口语）和思想政治素质和道德考核等有关复试内容。有直系亲属和利害关系人参加本年度研究生复试的，以上人员实行回避制度。</w:t>
      </w:r>
    </w:p>
    <w:p>
      <w:pPr>
        <w:pStyle w:val="3"/>
        <w:spacing w:before="34"/>
        <w:ind w:left="753" w:right="109"/>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二、各专业（领域）招生计划</w:t>
      </w:r>
    </w:p>
    <w:p>
      <w:pPr>
        <w:spacing w:before="7"/>
        <w:rPr>
          <w:rFonts w:hint="default" w:ascii="Times New Roman" w:hAnsi="Times New Roman" w:eastAsia="黑体" w:cs="Times New Roman"/>
          <w:color w:val="auto"/>
          <w:sz w:val="18"/>
          <w:szCs w:val="18"/>
          <w:lang w:eastAsia="zh-CN"/>
        </w:rPr>
      </w:pPr>
    </w:p>
    <w:tbl>
      <w:tblPr>
        <w:tblStyle w:val="7"/>
        <w:tblW w:w="7663" w:type="dxa"/>
        <w:jc w:val="center"/>
        <w:tblLayout w:type="fixed"/>
        <w:tblCellMar>
          <w:top w:w="0" w:type="dxa"/>
          <w:left w:w="0" w:type="dxa"/>
          <w:bottom w:w="0" w:type="dxa"/>
          <w:right w:w="0" w:type="dxa"/>
        </w:tblCellMar>
      </w:tblPr>
      <w:tblGrid>
        <w:gridCol w:w="2542"/>
        <w:gridCol w:w="1681"/>
        <w:gridCol w:w="1056"/>
        <w:gridCol w:w="2384"/>
      </w:tblGrid>
      <w:tr>
        <w:tblPrEx>
          <w:tblCellMar>
            <w:top w:w="0" w:type="dxa"/>
            <w:left w:w="0" w:type="dxa"/>
            <w:bottom w:w="0" w:type="dxa"/>
            <w:right w:w="0" w:type="dxa"/>
          </w:tblCellMar>
        </w:tblPrEx>
        <w:trPr>
          <w:trHeight w:val="514" w:hRule="exact"/>
          <w:jc w:val="center"/>
        </w:trPr>
        <w:tc>
          <w:tcPr>
            <w:tcW w:w="2542" w:type="dxa"/>
            <w:tcBorders>
              <w:top w:val="single" w:color="000000" w:sz="4" w:space="0"/>
              <w:left w:val="single" w:color="000000" w:sz="4" w:space="0"/>
              <w:bottom w:val="single" w:color="000000" w:sz="4" w:space="0"/>
              <w:right w:val="single" w:color="000000" w:sz="4" w:space="0"/>
            </w:tcBorders>
          </w:tcPr>
          <w:p>
            <w:pPr>
              <w:pStyle w:val="9"/>
              <w:spacing w:before="147"/>
              <w:ind w:right="2"/>
              <w:jc w:val="center"/>
              <w:rPr>
                <w:rFonts w:hint="default" w:ascii="Times New Roman" w:hAnsi="Times New Roman" w:eastAsia="仿宋" w:cs="Times New Roman"/>
                <w:color w:val="auto"/>
                <w:sz w:val="24"/>
                <w:szCs w:val="24"/>
              </w:rPr>
            </w:pPr>
            <w:bookmarkStart w:id="0" w:name="_GoBack"/>
            <w:r>
              <w:rPr>
                <w:rFonts w:hint="default" w:ascii="Times New Roman" w:hAnsi="Times New Roman" w:eastAsia="仿宋" w:cs="Times New Roman"/>
                <w:b/>
                <w:bCs/>
                <w:color w:val="auto"/>
                <w:sz w:val="24"/>
                <w:szCs w:val="24"/>
              </w:rPr>
              <w:t>专业（领域）</w:t>
            </w:r>
          </w:p>
        </w:tc>
        <w:tc>
          <w:tcPr>
            <w:tcW w:w="1681" w:type="dxa"/>
            <w:tcBorders>
              <w:top w:val="single" w:color="000000" w:sz="4" w:space="0"/>
              <w:left w:val="single" w:color="000000" w:sz="4" w:space="0"/>
              <w:bottom w:val="single" w:color="000000" w:sz="4" w:space="0"/>
              <w:right w:val="single" w:color="000000" w:sz="4" w:space="0"/>
            </w:tcBorders>
          </w:tcPr>
          <w:p>
            <w:pPr>
              <w:pStyle w:val="9"/>
              <w:spacing w:before="3" w:line="398" w:lineRule="exact"/>
              <w:ind w:right="-58" w:right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招生计划数</w:t>
            </w:r>
          </w:p>
        </w:tc>
        <w:tc>
          <w:tcPr>
            <w:tcW w:w="1056" w:type="dxa"/>
            <w:tcBorders>
              <w:top w:val="single" w:color="000000" w:sz="4" w:space="0"/>
              <w:left w:val="single" w:color="000000" w:sz="4" w:space="0"/>
              <w:bottom w:val="single" w:color="000000" w:sz="4" w:space="0"/>
              <w:right w:val="single" w:color="000000" w:sz="4" w:space="0"/>
            </w:tcBorders>
          </w:tcPr>
          <w:p>
            <w:pPr>
              <w:pStyle w:val="9"/>
              <w:spacing w:before="3" w:line="398" w:lineRule="exact"/>
              <w:ind w:left="190" w:right="19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z w:val="24"/>
                <w:szCs w:val="24"/>
              </w:rPr>
              <w:t>学制</w:t>
            </w:r>
          </w:p>
        </w:tc>
        <w:tc>
          <w:tcPr>
            <w:tcW w:w="2384" w:type="dxa"/>
            <w:tcBorders>
              <w:top w:val="single" w:color="000000" w:sz="4" w:space="0"/>
              <w:left w:val="single" w:color="000000" w:sz="4" w:space="0"/>
              <w:bottom w:val="single" w:color="000000" w:sz="4" w:space="0"/>
              <w:right w:val="single" w:color="000000" w:sz="4" w:space="0"/>
            </w:tcBorders>
          </w:tcPr>
          <w:p>
            <w:pPr>
              <w:pStyle w:val="9"/>
              <w:spacing w:before="3" w:line="398" w:lineRule="exact"/>
              <w:ind w:left="110" w:leftChars="50" w:right="-46" w:rightChars="0" w:firstLine="1"/>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z w:val="24"/>
                <w:szCs w:val="24"/>
              </w:rPr>
              <w:t>第一志愿上</w:t>
            </w:r>
            <w:r>
              <w:rPr>
                <w:rFonts w:hint="default" w:ascii="Times New Roman" w:hAnsi="Times New Roman" w:eastAsia="仿宋" w:cs="Times New Roman"/>
                <w:b/>
                <w:bCs/>
                <w:color w:val="auto"/>
                <w:sz w:val="24"/>
                <w:szCs w:val="24"/>
                <w:lang w:eastAsia="zh-CN"/>
              </w:rPr>
              <w:t>线生源数</w:t>
            </w:r>
          </w:p>
        </w:tc>
      </w:tr>
      <w:tr>
        <w:tblPrEx>
          <w:tblCellMar>
            <w:top w:w="0" w:type="dxa"/>
            <w:left w:w="0" w:type="dxa"/>
            <w:bottom w:w="0" w:type="dxa"/>
            <w:right w:w="0" w:type="dxa"/>
          </w:tblCellMar>
        </w:tblPrEx>
        <w:trPr>
          <w:trHeight w:val="1404" w:hRule="exact"/>
          <w:jc w:val="center"/>
        </w:trPr>
        <w:tc>
          <w:tcPr>
            <w:tcW w:w="2542" w:type="dxa"/>
            <w:tcBorders>
              <w:top w:val="single" w:color="000000" w:sz="4" w:space="0"/>
              <w:left w:val="single" w:color="000000" w:sz="4" w:space="0"/>
              <w:right w:val="single" w:color="000000" w:sz="4" w:space="0"/>
            </w:tcBorders>
            <w:vAlign w:val="center"/>
          </w:tcPr>
          <w:p>
            <w:pPr>
              <w:pStyle w:val="9"/>
              <w:jc w:val="center"/>
              <w:rPr>
                <w:rFonts w:hint="eastAsia"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val="en-US" w:eastAsia="zh-CN"/>
              </w:rPr>
              <w:t>兽医学</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9"/>
              <w:spacing w:before="119"/>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lang w:val="en-US" w:eastAsia="zh-CN"/>
              </w:rPr>
              <w:t>31</w:t>
            </w:r>
          </w:p>
        </w:tc>
        <w:tc>
          <w:tcPr>
            <w:tcW w:w="1056" w:type="dxa"/>
            <w:tcBorders>
              <w:top w:val="single" w:color="000000" w:sz="4" w:space="0"/>
              <w:left w:val="single" w:color="000000" w:sz="4" w:space="0"/>
              <w:bottom w:val="single" w:color="000000" w:sz="4" w:space="0"/>
              <w:right w:val="single" w:color="000000" w:sz="4" w:space="0"/>
            </w:tcBorders>
            <w:vAlign w:val="center"/>
          </w:tcPr>
          <w:p>
            <w:pPr>
              <w:pStyle w:val="9"/>
              <w:spacing w:before="119"/>
              <w:jc w:val="center"/>
              <w:rPr>
                <w:rFonts w:hint="default" w:ascii="Times New Roman" w:hAnsi="Times New Roman" w:eastAsia="仿宋" w:cs="Times New Roman"/>
                <w:color w:val="auto"/>
                <w:sz w:val="24"/>
                <w:szCs w:val="24"/>
              </w:rPr>
            </w:pPr>
            <w:r>
              <w:rPr>
                <w:rFonts w:hint="default" w:ascii="Times New Roman" w:hAnsi="Times New Roman" w:cs="Times New Roman"/>
                <w:color w:val="auto"/>
                <w:sz w:val="24"/>
              </w:rPr>
              <w:t>3</w:t>
            </w:r>
          </w:p>
        </w:tc>
        <w:tc>
          <w:tcPr>
            <w:tcW w:w="2384" w:type="dxa"/>
            <w:tcBorders>
              <w:top w:val="single" w:color="000000" w:sz="4" w:space="0"/>
              <w:left w:val="single" w:color="000000" w:sz="4" w:space="0"/>
              <w:bottom w:val="single" w:color="000000" w:sz="4" w:space="0"/>
              <w:right w:val="single" w:color="000000" w:sz="4" w:space="0"/>
            </w:tcBorders>
            <w:vAlign w:val="center"/>
          </w:tcPr>
          <w:p>
            <w:pPr>
              <w:pStyle w:val="9"/>
              <w:spacing w:before="119"/>
              <w:ind w:right="1"/>
              <w:jc w:val="center"/>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lang w:val="en-US" w:eastAsia="zh-CN"/>
              </w:rPr>
              <w:t>26</w:t>
            </w:r>
          </w:p>
        </w:tc>
      </w:tr>
      <w:tr>
        <w:tblPrEx>
          <w:tblCellMar>
            <w:top w:w="0" w:type="dxa"/>
            <w:left w:w="0" w:type="dxa"/>
            <w:bottom w:w="0" w:type="dxa"/>
            <w:right w:w="0" w:type="dxa"/>
          </w:tblCellMar>
        </w:tblPrEx>
        <w:trPr>
          <w:trHeight w:val="1003" w:hRule="exact"/>
          <w:jc w:val="center"/>
        </w:trPr>
        <w:tc>
          <w:tcPr>
            <w:tcW w:w="2542"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全日制</w:t>
            </w:r>
          </w:p>
          <w:p>
            <w:pPr>
              <w:pStyle w:val="9"/>
              <w:jc w:val="center"/>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兽医</w:t>
            </w:r>
            <w:r>
              <w:rPr>
                <w:rFonts w:hint="default" w:ascii="Times New Roman" w:hAnsi="Times New Roman" w:eastAsia="仿宋" w:cs="Times New Roman"/>
                <w:color w:val="auto"/>
                <w:sz w:val="28"/>
                <w:szCs w:val="28"/>
              </w:rPr>
              <w:t>专业学位</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hint="default" w:ascii="Times New Roman" w:hAnsi="Times New Roman" w:eastAsia="仿宋" w:cs="Times New Roman"/>
                <w:color w:val="auto"/>
                <w:sz w:val="24"/>
                <w:szCs w:val="24"/>
              </w:rPr>
            </w:pPr>
            <w:r>
              <w:rPr>
                <w:rFonts w:hint="default" w:ascii="Times New Roman" w:hAnsi="Times New Roman" w:cs="Times New Roman"/>
                <w:color w:val="auto"/>
                <w:sz w:val="24"/>
              </w:rPr>
              <w:t>61</w:t>
            </w:r>
          </w:p>
        </w:tc>
        <w:tc>
          <w:tcPr>
            <w:tcW w:w="1056"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hint="default" w:ascii="Times New Roman" w:hAnsi="Times New Roman" w:eastAsia="仿宋" w:cs="Times New Roman"/>
                <w:color w:val="auto"/>
                <w:sz w:val="24"/>
                <w:szCs w:val="24"/>
              </w:rPr>
            </w:pPr>
            <w:r>
              <w:rPr>
                <w:rFonts w:hint="default" w:ascii="Times New Roman" w:hAnsi="Times New Roman" w:cs="Times New Roman"/>
                <w:color w:val="auto"/>
                <w:sz w:val="24"/>
              </w:rPr>
              <w:t>3</w:t>
            </w:r>
          </w:p>
        </w:tc>
        <w:tc>
          <w:tcPr>
            <w:tcW w:w="2384" w:type="dxa"/>
            <w:tcBorders>
              <w:top w:val="single" w:color="000000" w:sz="4" w:space="0"/>
              <w:left w:val="single" w:color="000000" w:sz="4" w:space="0"/>
              <w:bottom w:val="single" w:color="000000" w:sz="4" w:space="0"/>
              <w:right w:val="single" w:color="000000" w:sz="4" w:space="0"/>
            </w:tcBorders>
            <w:vAlign w:val="center"/>
          </w:tcPr>
          <w:p>
            <w:pPr>
              <w:pStyle w:val="9"/>
              <w:ind w:right="1"/>
              <w:jc w:val="center"/>
              <w:rPr>
                <w:rFonts w:hint="default" w:ascii="Times New Roman" w:hAnsi="Times New Roman" w:eastAsia="仿宋" w:cs="Times New Roman"/>
                <w:color w:val="auto"/>
                <w:sz w:val="24"/>
                <w:szCs w:val="24"/>
              </w:rPr>
            </w:pPr>
            <w:r>
              <w:rPr>
                <w:rFonts w:hint="default" w:ascii="Times New Roman" w:hAnsi="Times New Roman" w:cs="Times New Roman"/>
                <w:color w:val="auto"/>
                <w:sz w:val="24"/>
              </w:rPr>
              <w:t>86</w:t>
            </w:r>
          </w:p>
        </w:tc>
      </w:tr>
      <w:tr>
        <w:tblPrEx>
          <w:tblCellMar>
            <w:top w:w="0" w:type="dxa"/>
            <w:left w:w="0" w:type="dxa"/>
            <w:bottom w:w="0" w:type="dxa"/>
            <w:right w:w="0" w:type="dxa"/>
          </w:tblCellMar>
        </w:tblPrEx>
        <w:trPr>
          <w:trHeight w:val="991" w:hRule="exact"/>
          <w:jc w:val="center"/>
        </w:trPr>
        <w:tc>
          <w:tcPr>
            <w:tcW w:w="2542" w:type="dxa"/>
            <w:tcBorders>
              <w:top w:val="single" w:color="000000" w:sz="4" w:space="0"/>
              <w:left w:val="single" w:color="000000" w:sz="4" w:space="0"/>
              <w:bottom w:val="single" w:color="000000" w:sz="4" w:space="0"/>
              <w:right w:val="single" w:color="000000" w:sz="4" w:space="0"/>
            </w:tcBorders>
            <w:vAlign w:val="center"/>
          </w:tcPr>
          <w:p>
            <w:pPr>
              <w:pStyle w:val="9"/>
              <w:spacing w:before="81" w:line="276" w:lineRule="auto"/>
              <w:ind w:left="0" w:leftChars="0" w:right="229" w:firstLine="0" w:firstLineChars="0"/>
              <w:jc w:val="cente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非全日制</w:t>
            </w:r>
          </w:p>
          <w:p>
            <w:pPr>
              <w:pStyle w:val="9"/>
              <w:spacing w:before="81" w:line="276" w:lineRule="auto"/>
              <w:ind w:left="0" w:leftChars="0" w:right="229" w:firstLine="0" w:firstLineChars="0"/>
              <w:jc w:val="center"/>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兽医</w:t>
            </w:r>
            <w:r>
              <w:rPr>
                <w:rFonts w:hint="default" w:ascii="Times New Roman" w:hAnsi="Times New Roman" w:eastAsia="仿宋" w:cs="Times New Roman"/>
                <w:color w:val="auto"/>
                <w:sz w:val="28"/>
                <w:szCs w:val="28"/>
              </w:rPr>
              <w:t>专业学位</w:t>
            </w:r>
          </w:p>
        </w:tc>
        <w:tc>
          <w:tcPr>
            <w:tcW w:w="1681"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lang w:val="en-US" w:eastAsia="zh-CN"/>
              </w:rPr>
              <w:t>10</w:t>
            </w:r>
          </w:p>
        </w:tc>
        <w:tc>
          <w:tcPr>
            <w:tcW w:w="1056" w:type="dxa"/>
            <w:tcBorders>
              <w:top w:val="single" w:color="000000" w:sz="4" w:space="0"/>
              <w:left w:val="single" w:color="000000" w:sz="4" w:space="0"/>
              <w:bottom w:val="single" w:color="000000" w:sz="4" w:space="0"/>
              <w:right w:val="single" w:color="000000" w:sz="4" w:space="0"/>
            </w:tcBorders>
            <w:vAlign w:val="center"/>
          </w:tcPr>
          <w:p>
            <w:pPr>
              <w:pStyle w:val="9"/>
              <w:jc w:val="center"/>
              <w:rPr>
                <w:rFonts w:hint="default" w:ascii="Times New Roman" w:hAnsi="Times New Roman" w:eastAsia="仿宋" w:cs="Times New Roman"/>
                <w:color w:val="auto"/>
                <w:sz w:val="24"/>
                <w:szCs w:val="24"/>
              </w:rPr>
            </w:pPr>
            <w:r>
              <w:rPr>
                <w:rFonts w:hint="default" w:ascii="Times New Roman" w:hAnsi="Times New Roman" w:cs="Times New Roman"/>
                <w:color w:val="auto"/>
                <w:sz w:val="24"/>
              </w:rPr>
              <w:t>3</w:t>
            </w:r>
          </w:p>
        </w:tc>
        <w:tc>
          <w:tcPr>
            <w:tcW w:w="2384" w:type="dxa"/>
            <w:tcBorders>
              <w:top w:val="single" w:color="000000" w:sz="4" w:space="0"/>
              <w:left w:val="single" w:color="000000" w:sz="4" w:space="0"/>
              <w:bottom w:val="single" w:color="000000" w:sz="4" w:space="0"/>
              <w:right w:val="single" w:color="000000" w:sz="4" w:space="0"/>
            </w:tcBorders>
            <w:vAlign w:val="center"/>
          </w:tcPr>
          <w:p>
            <w:pPr>
              <w:pStyle w:val="9"/>
              <w:ind w:right="1"/>
              <w:jc w:val="center"/>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lang w:val="en-US" w:eastAsia="zh-CN"/>
              </w:rPr>
              <w:t>5</w:t>
            </w:r>
          </w:p>
        </w:tc>
      </w:tr>
      <w:bookmarkEnd w:id="0"/>
    </w:tbl>
    <w:p>
      <w:pPr>
        <w:spacing w:before="10"/>
        <w:rPr>
          <w:rFonts w:hint="default" w:ascii="Times New Roman" w:hAnsi="Times New Roman" w:eastAsia="黑体" w:cs="Times New Roman"/>
          <w:color w:val="auto"/>
          <w:sz w:val="5"/>
          <w:szCs w:val="5"/>
        </w:rPr>
      </w:pPr>
    </w:p>
    <w:p>
      <w:pPr>
        <w:pStyle w:val="3"/>
        <w:spacing w:before="34"/>
        <w:ind w:left="753" w:right="109"/>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三、复试</w:t>
      </w:r>
    </w:p>
    <w:p>
      <w:pPr>
        <w:spacing w:before="143" w:line="321" w:lineRule="auto"/>
        <w:ind w:left="753" w:right="2288"/>
        <w:rPr>
          <w:rFonts w:hint="default" w:ascii="Times New Roman" w:hAnsi="Times New Roman" w:eastAsia="仿宋" w:cs="Times New Roman"/>
          <w:b/>
          <w:bCs/>
          <w:color w:val="auto"/>
          <w:spacing w:val="61"/>
          <w:w w:val="95"/>
          <w:sz w:val="32"/>
          <w:szCs w:val="32"/>
          <w:lang w:eastAsia="zh-CN"/>
        </w:rPr>
      </w:pPr>
      <w:r>
        <w:rPr>
          <w:rFonts w:hint="default" w:ascii="Times New Roman" w:hAnsi="Times New Roman" w:eastAsia="仿宋" w:cs="Times New Roman"/>
          <w:b/>
          <w:bCs/>
          <w:color w:val="auto"/>
          <w:w w:val="95"/>
          <w:sz w:val="32"/>
          <w:szCs w:val="32"/>
          <w:lang w:eastAsia="zh-CN"/>
        </w:rPr>
        <w:t>（一）考生进入复试的基本条件</w:t>
      </w:r>
    </w:p>
    <w:p>
      <w:pPr>
        <w:spacing w:before="143" w:line="321" w:lineRule="auto"/>
        <w:ind w:left="753" w:right="2288"/>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1．复试专业分数线</w:t>
      </w:r>
    </w:p>
    <w:p>
      <w:pPr>
        <w:pStyle w:val="3"/>
        <w:keepNext w:val="0"/>
        <w:keepLines w:val="0"/>
        <w:pageBreakBefore w:val="0"/>
        <w:widowControl w:val="0"/>
        <w:kinsoku/>
        <w:wordWrap/>
        <w:overflowPunct/>
        <w:topLinePunct w:val="0"/>
        <w:autoSpaceDE/>
        <w:autoSpaceDN/>
        <w:bidi w:val="0"/>
        <w:adjustRightInd/>
        <w:snapToGrid/>
        <w:spacing w:line="312" w:lineRule="auto"/>
        <w:ind w:right="109"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兽医学学术学位初试成绩总成绩不低于252分，英语一成绩不低于33</w:t>
      </w:r>
      <w:r>
        <w:rPr>
          <w:rFonts w:hint="default" w:ascii="Times New Roman" w:hAnsi="Times New Roman" w:cs="Times New Roman"/>
          <w:color w:val="auto"/>
          <w:spacing w:val="-4"/>
          <w:lang w:eastAsia="zh-CN"/>
        </w:rPr>
        <w:t>分，思想政治理论不低于</w:t>
      </w:r>
      <w:r>
        <w:rPr>
          <w:rFonts w:hint="default" w:ascii="Times New Roman" w:hAnsi="Times New Roman" w:cs="Times New Roman"/>
          <w:color w:val="auto"/>
          <w:lang w:eastAsia="zh-CN"/>
        </w:rPr>
        <w:t>33</w:t>
      </w:r>
      <w:r>
        <w:rPr>
          <w:rFonts w:hint="default" w:ascii="Times New Roman" w:hAnsi="Times New Roman" w:cs="Times New Roman"/>
          <w:color w:val="auto"/>
          <w:spacing w:val="-4"/>
          <w:lang w:eastAsia="zh-CN"/>
        </w:rPr>
        <w:t>分，业务课一不低于</w:t>
      </w:r>
      <w:r>
        <w:rPr>
          <w:rFonts w:hint="default" w:ascii="Times New Roman" w:hAnsi="Times New Roman" w:cs="Times New Roman"/>
          <w:color w:val="auto"/>
          <w:lang w:eastAsia="zh-CN"/>
        </w:rPr>
        <w:t>50</w:t>
      </w:r>
      <w:r>
        <w:rPr>
          <w:rFonts w:hint="default" w:ascii="Times New Roman" w:hAnsi="Times New Roman" w:cs="Times New Roman"/>
          <w:color w:val="auto"/>
          <w:spacing w:val="-8"/>
          <w:lang w:eastAsia="zh-CN"/>
        </w:rPr>
        <w:t>分、业务课</w:t>
      </w:r>
      <w:r>
        <w:rPr>
          <w:rFonts w:hint="default" w:ascii="Times New Roman" w:hAnsi="Times New Roman" w:cs="Times New Roman"/>
          <w:color w:val="auto"/>
          <w:lang w:eastAsia="zh-CN"/>
        </w:rPr>
        <w:t>二不低于50</w:t>
      </w:r>
      <w:r>
        <w:rPr>
          <w:rFonts w:hint="default" w:ascii="Times New Roman" w:hAnsi="Times New Roman" w:cs="Times New Roman"/>
          <w:color w:val="auto"/>
          <w:spacing w:val="-4"/>
          <w:lang w:eastAsia="zh-CN"/>
        </w:rPr>
        <w:t>分。兽医专硕初试总成绩不低于</w:t>
      </w:r>
      <w:r>
        <w:rPr>
          <w:rFonts w:hint="default" w:ascii="Times New Roman" w:hAnsi="Times New Roman" w:cs="Times New Roman"/>
          <w:color w:val="auto"/>
          <w:lang w:eastAsia="zh-CN"/>
        </w:rPr>
        <w:t>25</w:t>
      </w:r>
      <w:r>
        <w:rPr>
          <w:rFonts w:hint="default" w:ascii="Times New Roman" w:hAnsi="Times New Roman" w:cs="Times New Roman"/>
          <w:color w:val="auto"/>
          <w:lang w:val="en-US" w:eastAsia="zh-CN"/>
        </w:rPr>
        <w:t>2</w:t>
      </w:r>
      <w:r>
        <w:rPr>
          <w:rFonts w:hint="default" w:ascii="Times New Roman" w:hAnsi="Times New Roman" w:cs="Times New Roman"/>
          <w:color w:val="auto"/>
          <w:spacing w:val="-9"/>
          <w:lang w:eastAsia="zh-CN"/>
        </w:rPr>
        <w:t>分，英语二成绩</w:t>
      </w:r>
      <w:r>
        <w:rPr>
          <w:rFonts w:hint="default" w:ascii="Times New Roman" w:hAnsi="Times New Roman" w:cs="Times New Roman"/>
          <w:color w:val="auto"/>
          <w:lang w:eastAsia="zh-CN"/>
        </w:rPr>
        <w:t>不低于33</w:t>
      </w:r>
      <w:r>
        <w:rPr>
          <w:rFonts w:hint="default" w:ascii="Times New Roman" w:hAnsi="Times New Roman" w:cs="Times New Roman"/>
          <w:color w:val="auto"/>
          <w:spacing w:val="-4"/>
          <w:lang w:eastAsia="zh-CN"/>
        </w:rPr>
        <w:t>分，思想政治理论不低于</w:t>
      </w:r>
      <w:r>
        <w:rPr>
          <w:rFonts w:hint="default" w:ascii="Times New Roman" w:hAnsi="Times New Roman" w:cs="Times New Roman"/>
          <w:color w:val="auto"/>
          <w:lang w:eastAsia="zh-CN"/>
        </w:rPr>
        <w:t>33</w:t>
      </w:r>
      <w:r>
        <w:rPr>
          <w:rFonts w:hint="default" w:ascii="Times New Roman" w:hAnsi="Times New Roman" w:cs="Times New Roman"/>
          <w:color w:val="auto"/>
          <w:spacing w:val="-4"/>
          <w:lang w:eastAsia="zh-CN"/>
        </w:rPr>
        <w:t>分，业务课一不低于</w:t>
      </w:r>
      <w:r>
        <w:rPr>
          <w:rFonts w:hint="default" w:ascii="Times New Roman" w:hAnsi="Times New Roman" w:cs="Times New Roman"/>
          <w:color w:val="auto"/>
          <w:lang w:eastAsia="zh-CN"/>
        </w:rPr>
        <w:t>50</w:t>
      </w:r>
      <w:r>
        <w:rPr>
          <w:rFonts w:hint="default" w:ascii="Times New Roman" w:hAnsi="Times New Roman" w:cs="Times New Roman"/>
          <w:color w:val="auto"/>
          <w:spacing w:val="-14"/>
          <w:lang w:eastAsia="zh-CN"/>
        </w:rPr>
        <w:t>分、业</w:t>
      </w:r>
      <w:r>
        <w:rPr>
          <w:rFonts w:hint="default" w:ascii="Times New Roman" w:hAnsi="Times New Roman" w:cs="Times New Roman"/>
          <w:color w:val="auto"/>
          <w:lang w:eastAsia="zh-CN"/>
        </w:rPr>
        <w:t>务课二不低于50分。</w:t>
      </w:r>
    </w:p>
    <w:p>
      <w:pPr>
        <w:pStyle w:val="2"/>
        <w:spacing w:before="118"/>
        <w:ind w:left="914"/>
        <w:rPr>
          <w:rFonts w:hint="default" w:ascii="Times New Roman" w:hAnsi="Times New Roman" w:cs="Times New Roman"/>
          <w:b w:val="0"/>
          <w:bCs w:val="0"/>
          <w:color w:val="auto"/>
          <w:lang w:eastAsia="zh-CN"/>
        </w:rPr>
      </w:pPr>
      <w:r>
        <w:rPr>
          <w:rFonts w:hint="default" w:ascii="Times New Roman" w:hAnsi="Times New Roman" w:cs="Times New Roman"/>
          <w:color w:val="auto"/>
          <w:lang w:eastAsia="zh-CN"/>
        </w:rPr>
        <w:t>2．复试差额比例及第一批复试考生名单确定</w:t>
      </w:r>
    </w:p>
    <w:p>
      <w:pPr>
        <w:pStyle w:val="3"/>
        <w:spacing w:before="140" w:line="312" w:lineRule="auto"/>
        <w:ind w:right="110" w:firstLine="640"/>
        <w:jc w:val="both"/>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全日制</w:t>
      </w:r>
      <w:r>
        <w:rPr>
          <w:rFonts w:hint="eastAsia" w:ascii="Times New Roman" w:hAnsi="Times New Roman" w:cs="Times New Roman"/>
          <w:color w:val="auto"/>
          <w:lang w:val="en-US" w:eastAsia="zh-CN"/>
        </w:rPr>
        <w:t>兽医学</w:t>
      </w:r>
      <w:r>
        <w:rPr>
          <w:rFonts w:hint="default" w:ascii="Times New Roman" w:hAnsi="Times New Roman" w:cs="Times New Roman"/>
          <w:color w:val="auto"/>
          <w:lang w:val="en-US" w:eastAsia="zh-CN"/>
        </w:rPr>
        <w:t>学术学位差额复试比例为150%，兽医专业学位</w:t>
      </w:r>
      <w:r>
        <w:rPr>
          <w:rFonts w:hint="default" w:ascii="Times New Roman" w:hAnsi="Times New Roman" w:cs="Times New Roman"/>
          <w:color w:val="auto"/>
          <w:lang w:eastAsia="zh-CN"/>
        </w:rPr>
        <w:t>复试差额比例为</w:t>
      </w:r>
      <w:r>
        <w:rPr>
          <w:rFonts w:hint="default" w:ascii="Times New Roman" w:hAnsi="Times New Roman" w:cs="Times New Roman"/>
          <w:color w:val="auto"/>
          <w:spacing w:val="-7"/>
          <w:lang w:eastAsia="zh-CN"/>
        </w:rPr>
        <w:t>120%。根据复试差额比例，按照达到专业</w:t>
      </w:r>
      <w:r>
        <w:rPr>
          <w:rFonts w:hint="default" w:ascii="Times New Roman" w:hAnsi="Times New Roman" w:cs="Times New Roman"/>
          <w:color w:val="auto"/>
          <w:lang w:eastAsia="zh-CN"/>
        </w:rPr>
        <w:t>分数线第一志愿考生的初试总分由高到低排名确定第一批复试考生名</w:t>
      </w:r>
      <w:r>
        <w:rPr>
          <w:rFonts w:hint="default" w:ascii="Times New Roman" w:hAnsi="Times New Roman" w:cs="Times New Roman"/>
          <w:color w:val="auto"/>
          <w:spacing w:val="-20"/>
          <w:lang w:eastAsia="zh-CN"/>
        </w:rPr>
        <w:t>单（详见附件）。</w:t>
      </w:r>
    </w:p>
    <w:p>
      <w:pPr>
        <w:pStyle w:val="3"/>
        <w:spacing w:before="44" w:line="321" w:lineRule="auto"/>
        <w:ind w:right="113" w:firstLine="64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对于在各批次复试规定的时间内调剂后仍达不到招生计划的，按照实际人数组织复试。</w:t>
      </w:r>
    </w:p>
    <w:p>
      <w:pPr>
        <w:spacing w:before="34" w:line="321" w:lineRule="auto"/>
        <w:ind w:left="753"/>
        <w:rPr>
          <w:rFonts w:hint="default" w:ascii="Times New Roman" w:hAnsi="Times New Roman" w:eastAsia="仿宋" w:cs="Times New Roman"/>
          <w:b/>
          <w:bCs/>
          <w:color w:val="auto"/>
          <w:w w:val="99"/>
          <w:sz w:val="32"/>
          <w:szCs w:val="32"/>
          <w:lang w:eastAsia="zh-CN"/>
        </w:rPr>
      </w:pPr>
      <w:r>
        <w:rPr>
          <w:rFonts w:hint="default" w:ascii="Times New Roman" w:hAnsi="Times New Roman" w:eastAsia="仿宋" w:cs="Times New Roman"/>
          <w:b/>
          <w:bCs/>
          <w:color w:val="auto"/>
          <w:sz w:val="32"/>
          <w:szCs w:val="32"/>
          <w:lang w:eastAsia="zh-CN"/>
        </w:rPr>
        <w:t>（二）考生复试资格审查</w:t>
      </w:r>
    </w:p>
    <w:p>
      <w:pPr>
        <w:spacing w:before="34" w:line="321" w:lineRule="auto"/>
        <w:ind w:left="753"/>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pacing w:val="-5"/>
          <w:sz w:val="32"/>
          <w:szCs w:val="32"/>
          <w:lang w:eastAsia="zh-CN"/>
        </w:rPr>
        <w:t>学院按照研究生部（处）网站公布的《青岛农业大学</w:t>
      </w:r>
      <w:r>
        <w:rPr>
          <w:rFonts w:hint="default" w:ascii="Times New Roman" w:hAnsi="Times New Roman" w:eastAsia="仿宋" w:cs="Times New Roman"/>
          <w:color w:val="auto"/>
          <w:sz w:val="32"/>
          <w:szCs w:val="32"/>
          <w:lang w:eastAsia="zh-CN"/>
        </w:rPr>
        <w:t>2021年硕士</w:t>
      </w:r>
    </w:p>
    <w:p>
      <w:pPr>
        <w:pStyle w:val="3"/>
        <w:spacing w:line="321" w:lineRule="auto"/>
        <w:ind w:left="0" w:leftChars="0" w:right="113" w:firstLine="0" w:firstLineChars="0"/>
        <w:jc w:val="both"/>
        <w:rPr>
          <w:rFonts w:hint="default" w:ascii="Times New Roman" w:hAnsi="Times New Roman" w:cs="Times New Roman"/>
          <w:color w:val="auto"/>
          <w:lang w:eastAsia="zh-CN"/>
        </w:rPr>
      </w:pPr>
      <w:r>
        <w:rPr>
          <w:rFonts w:hint="default" w:ascii="Times New Roman" w:hAnsi="Times New Roman" w:cs="Times New Roman"/>
          <w:color w:val="auto"/>
          <w:spacing w:val="-9"/>
          <w:lang w:eastAsia="zh-CN"/>
        </w:rPr>
        <w:t>研究生招生章程》《青岛农业大学</w:t>
      </w:r>
      <w:r>
        <w:rPr>
          <w:rFonts w:hint="default" w:ascii="Times New Roman" w:hAnsi="Times New Roman" w:cs="Times New Roman"/>
          <w:color w:val="auto"/>
          <w:lang w:eastAsia="zh-CN"/>
        </w:rPr>
        <w:t>2021年硕士研究生招生专业目录》组织对考生的报考条件、考生身份、学籍学历等复试资格进行审核，考生复试资格审核不通过者，不予复试和录取。考生需签订《诚信复</w:t>
      </w:r>
      <w:r>
        <w:rPr>
          <w:rFonts w:hint="default" w:ascii="Times New Roman" w:hAnsi="Times New Roman" w:cs="Times New Roman"/>
          <w:color w:val="auto"/>
          <w:spacing w:val="-7"/>
          <w:lang w:eastAsia="zh-CN"/>
        </w:rPr>
        <w:t>试承诺书》，确保提交材料真实和复试过程诚信。</w:t>
      </w:r>
    </w:p>
    <w:p>
      <w:pPr>
        <w:pStyle w:val="2"/>
        <w:spacing w:before="34"/>
        <w:rPr>
          <w:rFonts w:hint="default" w:ascii="Times New Roman" w:hAnsi="Times New Roman" w:cs="Times New Roman"/>
          <w:b w:val="0"/>
          <w:bCs w:val="0"/>
          <w:color w:val="auto"/>
          <w:lang w:eastAsia="zh-CN"/>
        </w:rPr>
      </w:pPr>
      <w:r>
        <w:rPr>
          <w:rFonts w:hint="default" w:ascii="Times New Roman" w:hAnsi="Times New Roman" w:cs="Times New Roman"/>
          <w:color w:val="auto"/>
          <w:lang w:eastAsia="zh-CN"/>
        </w:rPr>
        <w:t>1．复试资格</w:t>
      </w:r>
    </w:p>
    <w:p>
      <w:pPr>
        <w:pStyle w:val="3"/>
        <w:spacing w:before="140" w:line="321" w:lineRule="auto"/>
        <w:ind w:right="113" w:firstLine="640"/>
        <w:jc w:val="both"/>
        <w:rPr>
          <w:rFonts w:hint="default" w:ascii="Times New Roman" w:hAnsi="Times New Roman" w:cs="Times New Roman"/>
          <w:color w:val="auto"/>
        </w:rPr>
      </w:pPr>
      <w:r>
        <w:rPr>
          <w:rFonts w:hint="default" w:ascii="Times New Roman" w:hAnsi="Times New Roman" w:cs="Times New Roman"/>
          <w:color w:val="auto"/>
          <w:spacing w:val="-4"/>
          <w:w w:val="95"/>
          <w:lang w:eastAsia="zh-CN"/>
        </w:rPr>
        <w:t>（1）应届本科毕业生应提供准考证、身份证、盖有教务部门公章</w:t>
      </w:r>
      <w:r>
        <w:rPr>
          <w:rFonts w:hint="default" w:ascii="Times New Roman" w:hAnsi="Times New Roman" w:cs="Times New Roman"/>
          <w:color w:val="auto"/>
          <w:lang w:eastAsia="zh-CN"/>
        </w:rPr>
        <w:t>的成绩单、有效期内的学生证及中国高等教育学生信息网上</w:t>
      </w:r>
      <w:r>
        <w:rPr>
          <w:rFonts w:hint="default" w:ascii="Times New Roman" w:hAnsi="Times New Roman" w:cs="Times New Roman"/>
          <w:color w:val="auto"/>
          <w:spacing w:val="-4"/>
        </w:rPr>
        <w:t>（https://</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"http://www.chsi.com.cn/" \h </w:instrText>
      </w:r>
      <w:r>
        <w:rPr>
          <w:rFonts w:hint="default" w:ascii="Times New Roman" w:hAnsi="Times New Roman" w:cs="Times New Roman"/>
          <w:color w:val="auto"/>
        </w:rPr>
        <w:fldChar w:fldCharType="separate"/>
      </w:r>
      <w:r>
        <w:rPr>
          <w:rFonts w:hint="default" w:ascii="Times New Roman" w:hAnsi="Times New Roman" w:cs="Times New Roman"/>
          <w:color w:val="auto"/>
          <w:spacing w:val="-4"/>
        </w:rPr>
        <w:t>www.chsi.com.cn</w:t>
      </w:r>
      <w:r>
        <w:rPr>
          <w:rFonts w:hint="default" w:ascii="Times New Roman" w:hAnsi="Times New Roman" w:cs="Times New Roman"/>
          <w:color w:val="auto"/>
          <w:spacing w:val="-4"/>
        </w:rPr>
        <w:fldChar w:fldCharType="end"/>
      </w:r>
      <w:r>
        <w:rPr>
          <w:rFonts w:hint="default" w:ascii="Times New Roman" w:hAnsi="Times New Roman" w:cs="Times New Roman"/>
          <w:color w:val="auto"/>
          <w:spacing w:val="-4"/>
        </w:rPr>
        <w:t>）本人的《教育部学籍在线验证报告》。</w:t>
      </w:r>
    </w:p>
    <w:p>
      <w:pPr>
        <w:pStyle w:val="3"/>
        <w:spacing w:before="140" w:line="321" w:lineRule="auto"/>
        <w:ind w:right="114" w:firstLine="640"/>
        <w:jc w:val="both"/>
        <w:rPr>
          <w:rFonts w:hint="default" w:ascii="Times New Roman" w:hAnsi="Times New Roman" w:cs="Times New Roman"/>
          <w:color w:val="auto"/>
          <w:lang w:eastAsia="zh-CN"/>
        </w:rPr>
      </w:pPr>
      <w:r>
        <w:rPr>
          <w:rFonts w:hint="default" w:ascii="Times New Roman" w:hAnsi="Times New Roman" w:cs="Times New Roman"/>
          <w:color w:val="auto"/>
          <w:spacing w:val="-4"/>
          <w:w w:val="95"/>
          <w:lang w:eastAsia="zh-CN"/>
        </w:rPr>
        <w:t>（2）往届毕业生应提供准考证、身份证、盖有教务部门公章的成</w:t>
      </w:r>
      <w:r>
        <w:rPr>
          <w:rFonts w:hint="default" w:ascii="Times New Roman" w:hAnsi="Times New Roman" w:cs="Times New Roman"/>
          <w:color w:val="auto"/>
          <w:lang w:eastAsia="zh-CN"/>
        </w:rPr>
        <w:t>绩单、毕业证书、学位证书及中国高等教育学生信息网上</w:t>
      </w:r>
      <w:r>
        <w:rPr>
          <w:rFonts w:hint="default" w:ascii="Times New Roman" w:hAnsi="Times New Roman" w:cs="Times New Roman"/>
          <w:color w:val="auto"/>
          <w:spacing w:val="-3"/>
        </w:rPr>
        <w:t>（https://</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"http://www.chsi.com.cn/" \h </w:instrText>
      </w:r>
      <w:r>
        <w:rPr>
          <w:rFonts w:hint="default" w:ascii="Times New Roman" w:hAnsi="Times New Roman" w:cs="Times New Roman"/>
          <w:color w:val="auto"/>
        </w:rPr>
        <w:fldChar w:fldCharType="separate"/>
      </w:r>
      <w:r>
        <w:rPr>
          <w:rFonts w:hint="default" w:ascii="Times New Roman" w:hAnsi="Times New Roman" w:cs="Times New Roman"/>
          <w:color w:val="auto"/>
          <w:spacing w:val="-3"/>
        </w:rPr>
        <w:t>www.chsi.com.cn</w:t>
      </w:r>
      <w:r>
        <w:rPr>
          <w:rFonts w:hint="default" w:ascii="Times New Roman" w:hAnsi="Times New Roman" w:cs="Times New Roman"/>
          <w:color w:val="auto"/>
          <w:spacing w:val="-3"/>
        </w:rPr>
        <w:fldChar w:fldCharType="end"/>
      </w:r>
      <w:r>
        <w:rPr>
          <w:rFonts w:hint="default" w:ascii="Times New Roman" w:hAnsi="Times New Roman" w:cs="Times New Roman"/>
          <w:color w:val="auto"/>
          <w:spacing w:val="-3"/>
        </w:rPr>
        <w:t>）本人的《教育部学历证书电子注册备案</w:t>
      </w:r>
      <w:r>
        <w:rPr>
          <w:rFonts w:hint="default" w:ascii="Times New Roman" w:hAnsi="Times New Roman" w:cs="Times New Roman"/>
          <w:color w:val="auto"/>
          <w:spacing w:val="-14"/>
          <w:lang w:eastAsia="zh-CN"/>
        </w:rPr>
        <w:t>表》。因故不能提供的，需提供教育部《中国高等教育学历认证报告》。</w:t>
      </w:r>
    </w:p>
    <w:p>
      <w:pPr>
        <w:pStyle w:val="3"/>
        <w:spacing w:line="321" w:lineRule="auto"/>
        <w:ind w:left="0" w:leftChars="0" w:right="109" w:firstLine="592" w:firstLineChars="200"/>
        <w:rPr>
          <w:rFonts w:hint="default" w:ascii="Times New Roman" w:hAnsi="Times New Roman" w:cs="Times New Roman"/>
          <w:color w:val="auto"/>
          <w:spacing w:val="-4"/>
          <w:w w:val="95"/>
          <w:lang w:eastAsia="zh-CN"/>
        </w:rPr>
      </w:pPr>
      <w:r>
        <w:rPr>
          <w:rFonts w:hint="default" w:ascii="Times New Roman" w:hAnsi="Times New Roman" w:cs="Times New Roman"/>
          <w:color w:val="auto"/>
          <w:spacing w:val="-4"/>
          <w:w w:val="95"/>
          <w:lang w:eastAsia="zh-CN"/>
        </w:rPr>
        <w:t>（</w:t>
      </w:r>
      <w:r>
        <w:rPr>
          <w:rFonts w:hint="eastAsia" w:ascii="Times New Roman" w:hAnsi="Times New Roman" w:cs="Times New Roman"/>
          <w:color w:val="auto"/>
          <w:spacing w:val="-4"/>
          <w:w w:val="95"/>
          <w:lang w:val="en-US" w:eastAsia="zh-CN"/>
        </w:rPr>
        <w:t>3</w:t>
      </w:r>
      <w:r>
        <w:rPr>
          <w:rFonts w:hint="default" w:ascii="Times New Roman" w:hAnsi="Times New Roman" w:cs="Times New Roman"/>
          <w:color w:val="auto"/>
          <w:spacing w:val="-4"/>
          <w:w w:val="95"/>
          <w:lang w:eastAsia="zh-CN"/>
        </w:rPr>
        <w:t>）在境外获得的学历证书，须提供教育部留学服务中心的认证。</w:t>
      </w:r>
    </w:p>
    <w:p>
      <w:pPr>
        <w:pStyle w:val="3"/>
        <w:spacing w:line="321" w:lineRule="auto"/>
        <w:ind w:left="0" w:leftChars="0" w:right="109" w:firstLine="643" w:firstLineChars="200"/>
        <w:rPr>
          <w:rFonts w:hint="default" w:ascii="Times New Roman" w:hAnsi="Times New Roman" w:cs="Times New Roman"/>
          <w:b/>
          <w:bCs/>
          <w:color w:val="auto"/>
          <w:lang w:eastAsia="zh-CN"/>
        </w:rPr>
      </w:pPr>
      <w:r>
        <w:rPr>
          <w:rFonts w:hint="default" w:ascii="Times New Roman" w:hAnsi="Times New Roman" w:cs="Times New Roman"/>
          <w:b/>
          <w:bCs/>
          <w:color w:val="auto"/>
          <w:lang w:eastAsia="zh-CN"/>
        </w:rPr>
        <w:t>2．加分资格</w:t>
      </w:r>
    </w:p>
    <w:p>
      <w:pPr>
        <w:pStyle w:val="3"/>
        <w:spacing w:line="321" w:lineRule="auto"/>
        <w:ind w:left="0" w:leftChars="0" w:right="109" w:firstLine="600" w:firstLineChars="200"/>
        <w:rPr>
          <w:rFonts w:hint="default" w:ascii="Times New Roman" w:hAnsi="Times New Roman" w:cs="Times New Roman"/>
          <w:color w:val="auto"/>
          <w:lang w:eastAsia="zh-CN"/>
        </w:rPr>
      </w:pPr>
      <w:r>
        <w:rPr>
          <w:rFonts w:hint="default" w:ascii="Times New Roman" w:hAnsi="Times New Roman" w:cs="Times New Roman"/>
          <w:color w:val="auto"/>
          <w:spacing w:val="-10"/>
          <w:lang w:eastAsia="zh-CN"/>
        </w:rPr>
        <w:t>参加“大学生志愿服务西部计划”“三支一扶计划”“农村义务教</w:t>
      </w:r>
      <w:r>
        <w:rPr>
          <w:rFonts w:hint="default" w:ascii="Times New Roman" w:hAnsi="Times New Roman" w:cs="Times New Roman"/>
          <w:color w:val="auto"/>
          <w:spacing w:val="-9"/>
          <w:w w:val="95"/>
          <w:lang w:eastAsia="zh-CN"/>
        </w:rPr>
        <w:t>育阶段学校教师特设岗位计划”“赴外汉语教师志愿者”等项目服务期</w:t>
      </w:r>
      <w:r>
        <w:rPr>
          <w:rFonts w:hint="default" w:ascii="Times New Roman" w:hAnsi="Times New Roman" w:cs="Times New Roman"/>
          <w:color w:val="auto"/>
          <w:lang w:eastAsia="zh-CN"/>
        </w:rPr>
        <w:t>满、考核合格的考生，3年内参加全国硕士研究生招生考试的，初试总分加10分，同等条件下优先录取。</w:t>
      </w:r>
    </w:p>
    <w:p>
      <w:pPr>
        <w:pStyle w:val="3"/>
        <w:spacing w:line="321" w:lineRule="auto"/>
        <w:ind w:right="273" w:firstLine="64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高校学生应征入伍服现役退役，达到报考条件后，3年内参加全国硕士研究生招生考试的考生，初试总分加10分，同等条件下优先录取。纳入“退役大学生士兵”专项硕士研究生招生计划招录的，不再享受退役大学生士兵初试加分政策。</w:t>
      </w:r>
    </w:p>
    <w:p>
      <w:pPr>
        <w:pStyle w:val="3"/>
        <w:spacing w:line="321" w:lineRule="auto"/>
        <w:ind w:right="232" w:firstLine="64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参加“选聘高校毕业生到村任职”项目服务期满、考核称职以上的考生，3年内参加全国硕士研究生招生考试的，初试总分加10分，同等条件下优先录取。</w:t>
      </w:r>
    </w:p>
    <w:p>
      <w:pPr>
        <w:pStyle w:val="3"/>
        <w:spacing w:line="321" w:lineRule="auto"/>
        <w:ind w:right="109" w:firstLine="640"/>
        <w:rPr>
          <w:rFonts w:hint="default" w:ascii="Times New Roman" w:hAnsi="Times New Roman" w:cs="Times New Roman"/>
          <w:color w:val="auto"/>
          <w:lang w:eastAsia="zh-CN"/>
        </w:rPr>
      </w:pPr>
      <w:r>
        <w:rPr>
          <w:rFonts w:hint="default" w:ascii="Times New Roman" w:hAnsi="Times New Roman" w:cs="Times New Roman"/>
          <w:color w:val="auto"/>
          <w:lang w:eastAsia="zh-CN"/>
        </w:rPr>
        <w:t>加分项目不累计，同时满足两项以上加分条件的考生按最高项加</w:t>
      </w:r>
      <w:r>
        <w:rPr>
          <w:rFonts w:hint="default" w:ascii="Times New Roman" w:hAnsi="Times New Roman" w:cs="Times New Roman"/>
          <w:color w:val="auto"/>
          <w:spacing w:val="-4"/>
          <w:lang w:eastAsia="zh-CN"/>
        </w:rPr>
        <w:t>分。享受加分资格的考生，应在复试前跟研究生处研究生招生办确认，</w:t>
      </w:r>
      <w:r>
        <w:rPr>
          <w:rFonts w:hint="default" w:ascii="Times New Roman" w:hAnsi="Times New Roman" w:cs="Times New Roman"/>
          <w:color w:val="auto"/>
          <w:lang w:eastAsia="zh-CN"/>
        </w:rPr>
        <w:t>否则视为自动放弃加分资格。</w:t>
      </w:r>
    </w:p>
    <w:p>
      <w:pPr>
        <w:spacing w:before="31" w:line="321" w:lineRule="auto"/>
        <w:ind w:left="13" w:leftChars="0" w:right="109" w:firstLine="742" w:firstLineChars="231"/>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（三）复试方式与内容</w:t>
      </w:r>
    </w:p>
    <w:p>
      <w:pPr>
        <w:spacing w:before="31" w:line="321" w:lineRule="auto"/>
        <w:ind w:left="13" w:leftChars="0" w:right="109" w:firstLine="739" w:firstLineChars="231"/>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复试方式为网络远程复试。使用学信网网络服饰平台，复试过程遵循“三随机“工作机制，随机选定考生次序、随机确定</w:t>
      </w:r>
      <w:r>
        <w:rPr>
          <w:rFonts w:hint="eastAsia" w:ascii="Times New Roman" w:hAnsi="Times New Roman" w:eastAsia="仿宋" w:cs="Times New Roman"/>
          <w:color w:val="auto"/>
          <w:sz w:val="32"/>
          <w:szCs w:val="32"/>
          <w:lang w:val="en-US" w:eastAsia="zh-CN"/>
        </w:rPr>
        <w:t>复试</w:t>
      </w:r>
      <w:r>
        <w:rPr>
          <w:rFonts w:hint="default" w:ascii="Times New Roman" w:hAnsi="Times New Roman" w:eastAsia="仿宋" w:cs="Times New Roman"/>
          <w:color w:val="auto"/>
          <w:sz w:val="32"/>
          <w:szCs w:val="32"/>
          <w:lang w:eastAsia="zh-CN"/>
        </w:rPr>
        <w:t>小组成员、随抽取复试试题。</w:t>
      </w:r>
    </w:p>
    <w:p>
      <w:pPr>
        <w:spacing w:before="31" w:line="321" w:lineRule="auto"/>
        <w:ind w:left="13" w:leftChars="0" w:right="109" w:firstLine="739" w:firstLineChars="231"/>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复试内容包括如下几个方面：</w:t>
      </w:r>
    </w:p>
    <w:p>
      <w:pPr>
        <w:spacing w:before="31" w:line="321" w:lineRule="auto"/>
        <w:ind w:left="753" w:right="10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1．综合测试</w:t>
      </w:r>
    </w:p>
    <w:p>
      <w:pPr>
        <w:spacing w:before="31" w:line="321" w:lineRule="auto"/>
        <w:ind w:left="13" w:leftChars="0" w:right="109" w:firstLine="739" w:firstLineChars="231"/>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综合测试包括专业课考试（30分）、面试（60分）、英语听力（5分）和英语口语（5分）四个复试项目，考试时间原则上为20分钟，满分100分。综合测试成绩计入考生总成绩。</w:t>
      </w:r>
    </w:p>
    <w:p>
      <w:pPr>
        <w:pStyle w:val="2"/>
        <w:keepNext w:val="0"/>
        <w:keepLines w:val="0"/>
        <w:pageBreakBefore w:val="0"/>
        <w:widowControl w:val="0"/>
        <w:kinsoku/>
        <w:wordWrap/>
        <w:overflowPunct/>
        <w:topLinePunct w:val="0"/>
        <w:autoSpaceDE/>
        <w:autoSpaceDN/>
        <w:bidi w:val="0"/>
        <w:adjustRightInd/>
        <w:snapToGrid/>
        <w:spacing w:before="140" w:line="240" w:lineRule="auto"/>
        <w:ind w:left="853" w:right="14"/>
        <w:textAlignment w:val="auto"/>
        <w:rPr>
          <w:rFonts w:hint="default" w:ascii="Times New Roman" w:hAnsi="Times New Roman" w:cs="Times New Roman"/>
          <w:b w:val="0"/>
          <w:bCs w:val="0"/>
          <w:color w:val="auto"/>
          <w:lang w:eastAsia="zh-CN"/>
        </w:rPr>
      </w:pPr>
      <w:r>
        <w:rPr>
          <w:rFonts w:hint="default" w:ascii="Times New Roman" w:hAnsi="Times New Roman" w:cs="Times New Roman"/>
          <w:color w:val="auto"/>
          <w:lang w:eastAsia="zh-CN"/>
        </w:rPr>
        <w:t>（1）专业课考试</w:t>
      </w:r>
    </w:p>
    <w:p>
      <w:pPr>
        <w:pStyle w:val="3"/>
        <w:spacing w:before="140" w:line="321" w:lineRule="auto"/>
        <w:ind w:left="212" w:right="14" w:firstLine="640"/>
        <w:rPr>
          <w:rFonts w:hint="default" w:ascii="Times New Roman" w:hAnsi="Times New Roman" w:cs="Times New Roman"/>
          <w:color w:val="auto"/>
          <w:lang w:eastAsia="zh-CN"/>
        </w:rPr>
      </w:pPr>
      <w:r>
        <w:rPr>
          <w:rFonts w:hint="default" w:ascii="Times New Roman" w:hAnsi="Times New Roman" w:cs="Times New Roman"/>
          <w:color w:val="auto"/>
          <w:lang w:eastAsia="zh-CN"/>
        </w:rPr>
        <w:t>考试科目为我校《2021年硕士研究生招生专业目录》公布的各专</w:t>
      </w:r>
      <w:r>
        <w:rPr>
          <w:rFonts w:hint="default" w:ascii="Times New Roman" w:hAnsi="Times New Roman" w:cs="Times New Roman"/>
          <w:color w:val="auto"/>
          <w:spacing w:val="-4"/>
          <w:lang w:eastAsia="zh-CN"/>
        </w:rPr>
        <w:t>业要求的考试科目。考试时随机抽取试题后向考生展示并复述给考生，</w:t>
      </w:r>
      <w:r>
        <w:rPr>
          <w:rFonts w:hint="default" w:ascii="Times New Roman" w:hAnsi="Times New Roman" w:cs="Times New Roman"/>
          <w:color w:val="auto"/>
          <w:lang w:eastAsia="zh-CN"/>
        </w:rPr>
        <w:t>考生在线口述作答。</w:t>
      </w:r>
    </w:p>
    <w:p>
      <w:pPr>
        <w:rPr>
          <w:rFonts w:hint="default" w:ascii="Times New Roman" w:hAnsi="Times New Roman" w:eastAsia="仿宋" w:cs="Times New Roman"/>
          <w:color w:val="auto"/>
          <w:sz w:val="20"/>
          <w:szCs w:val="20"/>
          <w:lang w:eastAsia="zh-CN"/>
        </w:rPr>
      </w:pPr>
    </w:p>
    <w:tbl>
      <w:tblPr>
        <w:tblStyle w:val="7"/>
        <w:tblW w:w="9854" w:type="dxa"/>
        <w:jc w:val="center"/>
        <w:tblLayout w:type="fixed"/>
        <w:tblCellMar>
          <w:top w:w="0" w:type="dxa"/>
          <w:left w:w="0" w:type="dxa"/>
          <w:bottom w:w="0" w:type="dxa"/>
          <w:right w:w="0" w:type="dxa"/>
        </w:tblCellMar>
      </w:tblPr>
      <w:tblGrid>
        <w:gridCol w:w="1369"/>
        <w:gridCol w:w="1989"/>
        <w:gridCol w:w="6496"/>
      </w:tblGrid>
      <w:tr>
        <w:tblPrEx>
          <w:tblCellMar>
            <w:top w:w="0" w:type="dxa"/>
            <w:left w:w="0" w:type="dxa"/>
            <w:bottom w:w="0" w:type="dxa"/>
            <w:right w:w="0" w:type="dxa"/>
          </w:tblCellMar>
        </w:tblPrEx>
        <w:trPr>
          <w:trHeight w:val="634" w:hRule="exact"/>
          <w:jc w:val="center"/>
        </w:trPr>
        <w:tc>
          <w:tcPr>
            <w:tcW w:w="3358" w:type="dxa"/>
            <w:gridSpan w:val="2"/>
            <w:tcBorders>
              <w:top w:val="single" w:color="000000" w:sz="4" w:space="0"/>
              <w:left w:val="single" w:color="000000" w:sz="4" w:space="0"/>
              <w:bottom w:val="single" w:color="000000" w:sz="4" w:space="0"/>
              <w:right w:val="single" w:color="000000" w:sz="4" w:space="0"/>
            </w:tcBorders>
            <w:vAlign w:val="top"/>
          </w:tcPr>
          <w:p>
            <w:pPr>
              <w:pStyle w:val="9"/>
              <w:spacing w:before="55"/>
              <w:ind w:left="390"/>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pacing w:val="2"/>
                <w:w w:val="99"/>
                <w:sz w:val="32"/>
                <w:szCs w:val="32"/>
              </w:rPr>
              <w:t>专业（</w:t>
            </w:r>
            <w:r>
              <w:rPr>
                <w:rFonts w:hint="default" w:ascii="Times New Roman" w:hAnsi="Times New Roman" w:eastAsia="仿宋" w:cs="Times New Roman"/>
                <w:b/>
                <w:bCs/>
                <w:color w:val="auto"/>
                <w:w w:val="99"/>
                <w:sz w:val="32"/>
                <w:szCs w:val="32"/>
              </w:rPr>
              <w:t>领</w:t>
            </w:r>
            <w:r>
              <w:rPr>
                <w:rFonts w:hint="default" w:ascii="Times New Roman" w:hAnsi="Times New Roman" w:eastAsia="仿宋" w:cs="Times New Roman"/>
                <w:b/>
                <w:bCs/>
                <w:color w:val="auto"/>
                <w:spacing w:val="2"/>
                <w:w w:val="99"/>
                <w:sz w:val="32"/>
                <w:szCs w:val="32"/>
              </w:rPr>
              <w:t>域）名</w:t>
            </w:r>
            <w:r>
              <w:rPr>
                <w:rFonts w:hint="default" w:ascii="Times New Roman" w:hAnsi="Times New Roman" w:eastAsia="仿宋" w:cs="Times New Roman"/>
                <w:b/>
                <w:bCs/>
                <w:color w:val="auto"/>
                <w:w w:val="99"/>
                <w:sz w:val="32"/>
                <w:szCs w:val="32"/>
              </w:rPr>
              <w:t>称</w:t>
            </w:r>
          </w:p>
        </w:tc>
        <w:tc>
          <w:tcPr>
            <w:tcW w:w="6496" w:type="dxa"/>
            <w:tcBorders>
              <w:top w:val="single" w:color="000000" w:sz="4" w:space="0"/>
              <w:left w:val="single" w:color="000000" w:sz="4" w:space="0"/>
              <w:bottom w:val="single" w:color="000000" w:sz="4" w:space="0"/>
              <w:right w:val="single" w:color="000000" w:sz="4" w:space="0"/>
            </w:tcBorders>
            <w:vAlign w:val="top"/>
          </w:tcPr>
          <w:p>
            <w:pPr>
              <w:pStyle w:val="9"/>
              <w:spacing w:before="55"/>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pacing w:val="2"/>
                <w:w w:val="99"/>
                <w:sz w:val="32"/>
                <w:szCs w:val="32"/>
              </w:rPr>
              <w:t>复试科</w:t>
            </w:r>
            <w:r>
              <w:rPr>
                <w:rFonts w:hint="default" w:ascii="Times New Roman" w:hAnsi="Times New Roman" w:eastAsia="仿宋" w:cs="Times New Roman"/>
                <w:b/>
                <w:bCs/>
                <w:color w:val="auto"/>
                <w:w w:val="99"/>
                <w:sz w:val="32"/>
                <w:szCs w:val="32"/>
              </w:rPr>
              <w:t>目</w:t>
            </w:r>
          </w:p>
        </w:tc>
      </w:tr>
      <w:tr>
        <w:tblPrEx>
          <w:tblCellMar>
            <w:top w:w="0" w:type="dxa"/>
            <w:left w:w="0" w:type="dxa"/>
            <w:bottom w:w="0" w:type="dxa"/>
            <w:right w:w="0" w:type="dxa"/>
          </w:tblCellMar>
        </w:tblPrEx>
        <w:trPr>
          <w:trHeight w:val="957" w:hRule="exact"/>
          <w:jc w:val="center"/>
        </w:trPr>
        <w:tc>
          <w:tcPr>
            <w:tcW w:w="1369" w:type="dxa"/>
            <w:vMerge w:val="restart"/>
            <w:tcBorders>
              <w:top w:val="single" w:color="000000" w:sz="4" w:space="0"/>
              <w:left w:val="single" w:color="000000" w:sz="4" w:space="0"/>
              <w:right w:val="single" w:color="000000" w:sz="4" w:space="0"/>
            </w:tcBorders>
            <w:vAlign w:val="top"/>
          </w:tcPr>
          <w:p>
            <w:pPr>
              <w:pStyle w:val="9"/>
              <w:rPr>
                <w:rFonts w:hint="default" w:ascii="Times New Roman" w:hAnsi="Times New Roman" w:eastAsia="宋体" w:cs="Times New Roman"/>
                <w:color w:val="auto"/>
                <w:sz w:val="24"/>
                <w:szCs w:val="24"/>
              </w:rPr>
            </w:pPr>
          </w:p>
          <w:p>
            <w:pPr>
              <w:pStyle w:val="9"/>
              <w:rPr>
                <w:rFonts w:hint="default" w:ascii="Times New Roman" w:hAnsi="Times New Roman" w:eastAsia="宋体" w:cs="Times New Roman"/>
                <w:color w:val="auto"/>
                <w:sz w:val="24"/>
                <w:szCs w:val="24"/>
              </w:rPr>
            </w:pPr>
          </w:p>
          <w:p>
            <w:pPr>
              <w:pStyle w:val="9"/>
              <w:spacing w:before="3"/>
              <w:rPr>
                <w:rFonts w:hint="default" w:ascii="Times New Roman" w:hAnsi="Times New Roman" w:eastAsia="宋体" w:cs="Times New Roman"/>
                <w:color w:val="auto"/>
                <w:sz w:val="19"/>
                <w:szCs w:val="19"/>
              </w:rPr>
            </w:pPr>
          </w:p>
          <w:p>
            <w:pPr>
              <w:pStyle w:val="9"/>
              <w:ind w:left="580" w:leftChars="0" w:hanging="580" w:hangingChars="242"/>
              <w:jc w:val="center"/>
              <w:rPr>
                <w:rFonts w:hint="eastAsia" w:ascii="Times New Roman" w:hAnsi="Times New Roman" w:eastAsia="仿宋" w:cs="Times New Roman"/>
                <w:color w:val="auto"/>
                <w:sz w:val="24"/>
                <w:szCs w:val="24"/>
                <w:lang w:val="en-US" w:eastAsia="zh-CN"/>
              </w:rPr>
            </w:pPr>
          </w:p>
          <w:p>
            <w:pPr>
              <w:pStyle w:val="9"/>
              <w:ind w:left="580" w:leftChars="0" w:hanging="580" w:hangingChars="242"/>
              <w:jc w:val="center"/>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兽医学</w:t>
            </w:r>
          </w:p>
        </w:tc>
        <w:tc>
          <w:tcPr>
            <w:tcW w:w="1989" w:type="dxa"/>
            <w:tcBorders>
              <w:top w:val="single" w:color="000000" w:sz="4" w:space="0"/>
              <w:left w:val="single" w:color="000000" w:sz="4" w:space="0"/>
              <w:bottom w:val="single" w:color="000000" w:sz="4" w:space="0"/>
              <w:right w:val="single" w:color="000000" w:sz="4" w:space="0"/>
            </w:tcBorders>
            <w:vAlign w:val="top"/>
          </w:tcPr>
          <w:p>
            <w:pPr>
              <w:pStyle w:val="9"/>
              <w:spacing w:before="5"/>
              <w:rPr>
                <w:rFonts w:hint="default" w:ascii="Times New Roman" w:hAnsi="Times New Roman" w:eastAsia="宋体" w:cs="Times New Roman"/>
                <w:color w:val="auto"/>
                <w:sz w:val="21"/>
                <w:szCs w:val="21"/>
              </w:rPr>
            </w:pPr>
          </w:p>
          <w:p>
            <w:pPr>
              <w:pStyle w:val="9"/>
              <w:ind w:left="102"/>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基础兽医学</w:t>
            </w:r>
            <w:r>
              <w:rPr>
                <w:rFonts w:hint="eastAsia" w:ascii="Times New Roman" w:hAnsi="Times New Roman" w:eastAsia="仿宋" w:cs="Times New Roman"/>
                <w:color w:val="auto"/>
                <w:sz w:val="24"/>
                <w:szCs w:val="24"/>
                <w:lang w:val="en-US" w:eastAsia="zh-CN"/>
              </w:rPr>
              <w:t>方向</w:t>
            </w:r>
          </w:p>
        </w:tc>
        <w:tc>
          <w:tcPr>
            <w:tcW w:w="6496" w:type="dxa"/>
            <w:tcBorders>
              <w:top w:val="single" w:color="000000" w:sz="4" w:space="0"/>
              <w:left w:val="single" w:color="000000" w:sz="4" w:space="0"/>
              <w:bottom w:val="single" w:color="000000" w:sz="4" w:space="0"/>
              <w:right w:val="single" w:color="000000" w:sz="4" w:space="0"/>
            </w:tcBorders>
            <w:vAlign w:val="top"/>
          </w:tcPr>
          <w:p>
            <w:pPr>
              <w:pStyle w:val="9"/>
              <w:spacing w:before="154" w:line="312" w:lineRule="exact"/>
              <w:ind w:right="14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基础兽医综合（家畜组织学与胚胎学、兽医药理学、兽医病理学）</w:t>
            </w:r>
          </w:p>
        </w:tc>
      </w:tr>
      <w:tr>
        <w:tblPrEx>
          <w:tblCellMar>
            <w:top w:w="0" w:type="dxa"/>
            <w:left w:w="0" w:type="dxa"/>
            <w:bottom w:w="0" w:type="dxa"/>
            <w:right w:w="0" w:type="dxa"/>
          </w:tblCellMar>
        </w:tblPrEx>
        <w:trPr>
          <w:trHeight w:val="671" w:hRule="exact"/>
          <w:jc w:val="center"/>
        </w:trPr>
        <w:tc>
          <w:tcPr>
            <w:tcW w:w="1369" w:type="dxa"/>
            <w:vMerge w:val="continue"/>
            <w:tcBorders>
              <w:left w:val="single" w:color="000000" w:sz="4" w:space="0"/>
              <w:right w:val="single" w:color="000000" w:sz="4" w:space="0"/>
            </w:tcBorders>
            <w:vAlign w:val="top"/>
          </w:tcPr>
          <w:p>
            <w:pPr>
              <w:rPr>
                <w:rFonts w:hint="default" w:ascii="Times New Roman" w:hAnsi="Times New Roman" w:cs="Times New Roman"/>
                <w:color w:val="auto"/>
                <w:lang w:eastAsia="zh-CN"/>
              </w:rPr>
            </w:pPr>
          </w:p>
        </w:tc>
        <w:tc>
          <w:tcPr>
            <w:tcW w:w="1989" w:type="dxa"/>
            <w:tcBorders>
              <w:top w:val="single" w:color="000000" w:sz="4" w:space="0"/>
              <w:left w:val="single" w:color="000000" w:sz="4" w:space="0"/>
              <w:bottom w:val="single" w:color="000000" w:sz="4" w:space="0"/>
              <w:right w:val="single" w:color="000000" w:sz="4" w:space="0"/>
            </w:tcBorders>
            <w:vAlign w:val="top"/>
          </w:tcPr>
          <w:p>
            <w:pPr>
              <w:pStyle w:val="9"/>
              <w:spacing w:before="136"/>
              <w:ind w:left="102"/>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预防兽医学</w:t>
            </w:r>
            <w:r>
              <w:rPr>
                <w:rFonts w:hint="eastAsia" w:ascii="Times New Roman" w:hAnsi="Times New Roman" w:eastAsia="仿宋" w:cs="Times New Roman"/>
                <w:color w:val="auto"/>
                <w:sz w:val="24"/>
                <w:szCs w:val="24"/>
                <w:lang w:val="en-US" w:eastAsia="zh-CN"/>
              </w:rPr>
              <w:t>方向</w:t>
            </w:r>
          </w:p>
        </w:tc>
        <w:tc>
          <w:tcPr>
            <w:tcW w:w="6496" w:type="dxa"/>
            <w:tcBorders>
              <w:top w:val="single" w:color="000000" w:sz="4" w:space="0"/>
              <w:left w:val="single" w:color="000000" w:sz="4" w:space="0"/>
              <w:bottom w:val="single" w:color="000000" w:sz="4" w:space="0"/>
              <w:right w:val="single" w:color="000000" w:sz="4" w:space="0"/>
            </w:tcBorders>
            <w:vAlign w:val="top"/>
          </w:tcPr>
          <w:p>
            <w:pPr>
              <w:pStyle w:val="9"/>
              <w:spacing w:before="136"/>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预防兽医综合(兽医微生物学和免疫学、动物疫病学)</w:t>
            </w:r>
          </w:p>
        </w:tc>
      </w:tr>
      <w:tr>
        <w:tblPrEx>
          <w:tblCellMar>
            <w:top w:w="0" w:type="dxa"/>
            <w:left w:w="0" w:type="dxa"/>
            <w:bottom w:w="0" w:type="dxa"/>
            <w:right w:w="0" w:type="dxa"/>
          </w:tblCellMar>
        </w:tblPrEx>
        <w:trPr>
          <w:trHeight w:val="843" w:hRule="exact"/>
          <w:jc w:val="center"/>
        </w:trPr>
        <w:tc>
          <w:tcPr>
            <w:tcW w:w="1369" w:type="dxa"/>
            <w:vMerge w:val="continue"/>
            <w:tcBorders>
              <w:left w:val="single" w:color="000000" w:sz="4" w:space="0"/>
              <w:bottom w:val="single" w:color="000000" w:sz="4" w:space="0"/>
              <w:right w:val="single" w:color="000000" w:sz="4" w:space="0"/>
            </w:tcBorders>
            <w:vAlign w:val="top"/>
          </w:tcPr>
          <w:p>
            <w:pPr>
              <w:rPr>
                <w:rFonts w:hint="default" w:ascii="Times New Roman" w:hAnsi="Times New Roman" w:cs="Times New Roman"/>
                <w:color w:val="auto"/>
                <w:lang w:eastAsia="zh-CN"/>
              </w:rPr>
            </w:pPr>
          </w:p>
        </w:tc>
        <w:tc>
          <w:tcPr>
            <w:tcW w:w="1989" w:type="dxa"/>
            <w:tcBorders>
              <w:top w:val="single" w:color="000000" w:sz="4" w:space="0"/>
              <w:left w:val="single" w:color="000000" w:sz="4" w:space="0"/>
              <w:bottom w:val="single" w:color="000000" w:sz="4" w:space="0"/>
              <w:right w:val="single" w:color="000000" w:sz="4" w:space="0"/>
            </w:tcBorders>
            <w:vAlign w:val="top"/>
          </w:tcPr>
          <w:p>
            <w:pPr>
              <w:pStyle w:val="9"/>
              <w:spacing w:before="1"/>
              <w:rPr>
                <w:rFonts w:hint="default" w:ascii="Times New Roman" w:hAnsi="Times New Roman" w:eastAsia="宋体" w:cs="Times New Roman"/>
                <w:color w:val="auto"/>
                <w:sz w:val="17"/>
                <w:szCs w:val="17"/>
                <w:lang w:eastAsia="zh-CN"/>
              </w:rPr>
            </w:pPr>
          </w:p>
          <w:p>
            <w:pPr>
              <w:pStyle w:val="9"/>
              <w:ind w:left="102"/>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临床兽医学</w:t>
            </w:r>
            <w:r>
              <w:rPr>
                <w:rFonts w:hint="eastAsia" w:ascii="Times New Roman" w:hAnsi="Times New Roman" w:eastAsia="仿宋" w:cs="Times New Roman"/>
                <w:color w:val="auto"/>
                <w:sz w:val="24"/>
                <w:szCs w:val="24"/>
                <w:lang w:val="en-US" w:eastAsia="zh-CN"/>
              </w:rPr>
              <w:t>方向</w:t>
            </w:r>
          </w:p>
        </w:tc>
        <w:tc>
          <w:tcPr>
            <w:tcW w:w="6496" w:type="dxa"/>
            <w:tcBorders>
              <w:top w:val="single" w:color="000000" w:sz="4" w:space="0"/>
              <w:left w:val="single" w:color="000000" w:sz="4" w:space="0"/>
              <w:bottom w:val="single" w:color="000000" w:sz="4" w:space="0"/>
              <w:right w:val="single" w:color="000000" w:sz="4" w:space="0"/>
            </w:tcBorders>
            <w:vAlign w:val="top"/>
          </w:tcPr>
          <w:p>
            <w:pPr>
              <w:pStyle w:val="9"/>
              <w:spacing w:before="98" w:line="312" w:lineRule="exact"/>
              <w:ind w:right="14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临床兽医综合（兽医内科学，兽医外科学，兽医产科学和中兽医学）</w:t>
            </w:r>
          </w:p>
        </w:tc>
      </w:tr>
      <w:tr>
        <w:tblPrEx>
          <w:tblCellMar>
            <w:top w:w="0" w:type="dxa"/>
            <w:left w:w="0" w:type="dxa"/>
            <w:bottom w:w="0" w:type="dxa"/>
            <w:right w:w="0" w:type="dxa"/>
          </w:tblCellMar>
        </w:tblPrEx>
        <w:trPr>
          <w:trHeight w:val="818" w:hRule="exact"/>
          <w:jc w:val="center"/>
        </w:trPr>
        <w:tc>
          <w:tcPr>
            <w:tcW w:w="3358" w:type="dxa"/>
            <w:gridSpan w:val="2"/>
            <w:tcBorders>
              <w:top w:val="single" w:color="000000" w:sz="4" w:space="0"/>
              <w:left w:val="single" w:color="000000" w:sz="4" w:space="0"/>
              <w:bottom w:val="single" w:color="000000" w:sz="4" w:space="0"/>
              <w:right w:val="single" w:color="000000" w:sz="4" w:space="0"/>
            </w:tcBorders>
            <w:vAlign w:val="top"/>
          </w:tcPr>
          <w:p>
            <w:pPr>
              <w:pStyle w:val="9"/>
              <w:spacing w:before="86" w:line="312" w:lineRule="exact"/>
              <w:ind w:right="592"/>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兽医专业学位(全日制和非全日制)</w:t>
            </w:r>
          </w:p>
        </w:tc>
        <w:tc>
          <w:tcPr>
            <w:tcW w:w="6496" w:type="dxa"/>
            <w:tcBorders>
              <w:top w:val="single" w:color="000000" w:sz="4" w:space="0"/>
              <w:left w:val="single" w:color="000000" w:sz="4" w:space="0"/>
              <w:bottom w:val="single" w:color="000000" w:sz="4" w:space="0"/>
              <w:right w:val="single" w:color="000000" w:sz="4" w:space="0"/>
            </w:tcBorders>
            <w:vAlign w:val="top"/>
          </w:tcPr>
          <w:p>
            <w:pPr>
              <w:pStyle w:val="9"/>
              <w:spacing w:before="211"/>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免疫学</w:t>
            </w:r>
          </w:p>
        </w:tc>
      </w:tr>
    </w:tbl>
    <w:p>
      <w:pPr>
        <w:rPr>
          <w:rFonts w:hint="default" w:ascii="Times New Roman" w:hAnsi="Times New Roman" w:eastAsia="仿宋" w:cs="Times New Roman"/>
          <w:color w:val="auto"/>
          <w:sz w:val="20"/>
          <w:szCs w:val="20"/>
          <w:lang w:eastAsia="zh-CN"/>
        </w:rPr>
      </w:pPr>
    </w:p>
    <w:p>
      <w:pPr>
        <w:pStyle w:val="2"/>
        <w:ind w:left="841" w:right="14"/>
        <w:rPr>
          <w:rFonts w:hint="default" w:ascii="Times New Roman" w:hAnsi="Times New Roman" w:cs="Times New Roman"/>
          <w:b w:val="0"/>
          <w:bCs w:val="0"/>
          <w:color w:val="auto"/>
          <w:lang w:eastAsia="zh-CN"/>
        </w:rPr>
      </w:pPr>
      <w:r>
        <w:rPr>
          <w:rFonts w:hint="default" w:ascii="Times New Roman" w:hAnsi="Times New Roman" w:cs="Times New Roman"/>
          <w:color w:val="auto"/>
          <w:lang w:eastAsia="zh-CN"/>
        </w:rPr>
        <w:t>（2）面试</w:t>
      </w:r>
    </w:p>
    <w:p>
      <w:pPr>
        <w:pStyle w:val="3"/>
        <w:spacing w:before="140" w:line="321" w:lineRule="auto"/>
        <w:ind w:left="212" w:right="14" w:firstLine="640"/>
        <w:rPr>
          <w:rFonts w:hint="default" w:ascii="Times New Roman" w:hAnsi="Times New Roman" w:cs="Times New Roman"/>
          <w:color w:val="auto"/>
          <w:lang w:eastAsia="zh-CN"/>
        </w:rPr>
      </w:pPr>
      <w:r>
        <w:rPr>
          <w:rFonts w:hint="default" w:ascii="Times New Roman" w:hAnsi="Times New Roman" w:cs="Times New Roman"/>
          <w:color w:val="auto"/>
          <w:lang w:eastAsia="zh-CN"/>
        </w:rPr>
        <w:t>面试通过考生在线回答面试人员提问的方式进行考查。考查的主要内容包括：</w:t>
      </w:r>
    </w:p>
    <w:p>
      <w:pPr>
        <w:pStyle w:val="3"/>
        <w:keepNext w:val="0"/>
        <w:keepLines w:val="0"/>
        <w:pageBreakBefore w:val="0"/>
        <w:widowControl w:val="0"/>
        <w:kinsoku/>
        <w:wordWrap/>
        <w:overflowPunct/>
        <w:topLinePunct w:val="0"/>
        <w:autoSpaceDE/>
        <w:autoSpaceDN/>
        <w:bidi w:val="0"/>
        <w:adjustRightInd/>
        <w:snapToGrid/>
        <w:spacing w:before="34" w:line="312" w:lineRule="auto"/>
        <w:ind w:left="212" w:right="14" w:firstLine="1281"/>
        <w:textAlignment w:val="auto"/>
        <w:rPr>
          <w:rFonts w:hint="default" w:ascii="Times New Roman" w:hAnsi="Times New Roman" w:cs="Times New Roman"/>
          <w:color w:val="auto"/>
          <w:lang w:eastAsia="zh-CN"/>
        </w:rPr>
      </w:pPr>
      <w:r>
        <w:rPr>
          <w:rFonts w:hint="default" w:ascii="Times New Roman" w:hAnsi="Times New Roman" w:cs="Times New Roman"/>
          <w:color w:val="auto"/>
        </w:rPr>
        <mc:AlternateContent>
          <mc:Choice Requires="wpg">
            <w:drawing>
              <wp:anchor distT="0" distB="0" distL="114300" distR="114300" simplePos="0" relativeHeight="251660288" behindDoc="1" locked="0" layoutInCell="1" allowOverlap="1">
                <wp:simplePos x="0" y="0"/>
                <wp:positionH relativeFrom="page">
                  <wp:posOffset>1123950</wp:posOffset>
                </wp:positionH>
                <wp:positionV relativeFrom="paragraph">
                  <wp:posOffset>81915</wp:posOffset>
                </wp:positionV>
                <wp:extent cx="208915" cy="208280"/>
                <wp:effectExtent l="1270" t="1270" r="3175" b="3810"/>
                <wp:wrapNone/>
                <wp:docPr id="9" name="组合 10"/>
                <wp:cNvGraphicFramePr/>
                <a:graphic xmlns:a="http://schemas.openxmlformats.org/drawingml/2006/main">
                  <a:graphicData uri="http://schemas.microsoft.com/office/word/2010/wordprocessingGroup">
                    <wpg:wgp>
                      <wpg:cNvGrpSpPr/>
                      <wpg:grpSpPr>
                        <a:xfrm>
                          <a:off x="0" y="0"/>
                          <a:ext cx="208915" cy="208280"/>
                          <a:chOff x="1770" y="129"/>
                          <a:chExt cx="329" cy="328"/>
                        </a:xfrm>
                      </wpg:grpSpPr>
                      <wpg:grpSp>
                        <wpg:cNvPr id="8" name="组合 11"/>
                        <wpg:cNvGrpSpPr/>
                        <wpg:grpSpPr>
                          <a:xfrm>
                            <a:off x="1775" y="134"/>
                            <a:ext cx="320" cy="319"/>
                            <a:chOff x="1775" y="134"/>
                            <a:chExt cx="320" cy="319"/>
                          </a:xfrm>
                        </wpg:grpSpPr>
                        <wps:wsp>
                          <wps:cNvPr id="6" name="任意多边形 13"/>
                          <wps:cNvSpPr/>
                          <wps:spPr>
                            <a:xfrm>
                              <a:off x="1775" y="134"/>
                              <a:ext cx="320" cy="319"/>
                            </a:xfrm>
                            <a:custGeom>
                              <a:avLst/>
                              <a:gdLst/>
                              <a:ahLst/>
                              <a:cxnLst/>
                              <a:pathLst>
                                <a:path w="320" h="319">
                                  <a:moveTo>
                                    <a:pt x="319" y="159"/>
                                  </a:moveTo>
                                  <a:lnTo>
                                    <a:pt x="305" y="224"/>
                                  </a:lnTo>
                                  <a:lnTo>
                                    <a:pt x="267" y="277"/>
                                  </a:lnTo>
                                  <a:lnTo>
                                    <a:pt x="211" y="310"/>
                                  </a:lnTo>
                                  <a:lnTo>
                                    <a:pt x="166" y="319"/>
                                  </a:lnTo>
                                  <a:lnTo>
                                    <a:pt x="142" y="317"/>
                                  </a:lnTo>
                                  <a:lnTo>
                                    <a:pt x="78" y="295"/>
                                  </a:lnTo>
                                  <a:lnTo>
                                    <a:pt x="30" y="252"/>
                                  </a:lnTo>
                                  <a:lnTo>
                                    <a:pt x="3" y="194"/>
                                  </a:lnTo>
                                  <a:lnTo>
                                    <a:pt x="0" y="172"/>
                                  </a:lnTo>
                                  <a:lnTo>
                                    <a:pt x="1" y="147"/>
                                  </a:lnTo>
                                  <a:lnTo>
                                    <a:pt x="22" y="81"/>
                                  </a:lnTo>
                                  <a:lnTo>
                                    <a:pt x="63" y="32"/>
                                  </a:lnTo>
                                  <a:lnTo>
                                    <a:pt x="120" y="4"/>
                                  </a:lnTo>
                                  <a:lnTo>
                                    <a:pt x="141" y="0"/>
                                  </a:lnTo>
                                  <a:lnTo>
                                    <a:pt x="167" y="1"/>
                                  </a:lnTo>
                                  <a:lnTo>
                                    <a:pt x="234" y="21"/>
                                  </a:lnTo>
                                  <a:lnTo>
                                    <a:pt x="284" y="61"/>
                                  </a:lnTo>
                                  <a:lnTo>
                                    <a:pt x="313" y="116"/>
                                  </a:lnTo>
                                  <a:lnTo>
                                    <a:pt x="318" y="137"/>
                                  </a:lnTo>
                                </a:path>
                              </a:pathLst>
                            </a:custGeom>
                            <a:noFill/>
                            <a:ln w="5793" cap="flat" cmpd="sng">
                              <a:solidFill>
                                <a:srgbClr val="000000"/>
                              </a:solidFill>
                              <a:prstDash val="solid"/>
                              <a:headEnd type="none" w="med" len="med"/>
                              <a:tailEnd type="none" w="med" len="med"/>
                            </a:ln>
                          </wps:spPr>
                          <wps:bodyPr upright="1"/>
                        </wps:wsp>
                        <wps:wsp>
                          <wps:cNvPr id="7" name="文本框 12"/>
                          <wps:cNvSpPr txBox="1"/>
                          <wps:spPr>
                            <a:xfrm>
                              <a:off x="1770" y="129"/>
                              <a:ext cx="329" cy="328"/>
                            </a:xfrm>
                            <a:prstGeom prst="rect">
                              <a:avLst/>
                            </a:prstGeom>
                            <a:noFill/>
                            <a:ln>
                              <a:noFill/>
                            </a:ln>
                          </wps:spPr>
                          <wps:txbx>
                            <w:txbxContent>
                              <w:p>
                                <w:pPr>
                                  <w:spacing w:line="314" w:lineRule="exact"/>
                                  <w:ind w:left="94"/>
                                  <w:rPr>
                                    <w:rFonts w:ascii="仿宋" w:hAnsi="仿宋" w:eastAsia="仿宋" w:cs="仿宋"/>
                                    <w:sz w:val="27"/>
                                    <w:szCs w:val="27"/>
                                  </w:rPr>
                                </w:pPr>
                                <w:r>
                                  <w:rPr>
                                    <w:rFonts w:ascii="仿宋"/>
                                    <w:w w:val="99"/>
                                    <w:sz w:val="27"/>
                                  </w:rPr>
                                  <w:t>1</w:t>
                                </w:r>
                              </w:p>
                            </w:txbxContent>
                          </wps:txbx>
                          <wps:bodyPr lIns="0" tIns="0" rIns="0" bIns="0" upright="1"/>
                        </wps:wsp>
                      </wpg:grpSp>
                    </wpg:wgp>
                  </a:graphicData>
                </a:graphic>
              </wp:anchor>
            </w:drawing>
          </mc:Choice>
          <mc:Fallback>
            <w:pict>
              <v:group id="组合 10" o:spid="_x0000_s1026" o:spt="203" style="position:absolute;left:0pt;margin-left:88.5pt;margin-top:6.45pt;height:16.4pt;width:16.45pt;mso-position-horizontal-relative:page;z-index:-251656192;mso-width-relative:page;mso-height-relative:page;" coordorigin="1770,129" coordsize="329,328" o:gfxdata="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PbYgCfZAAAACQEAAA8AAAAAAAAAAQAgAAAA&#10;IgAAAGRycy9kb3ducmV2LnhtbFBLAQIUABQAAAAIAIdO4kDmeykn0gMAAD4LAAAOAAAAAAAAAAEA&#10;IAAAACgBAABkcnMvZTJvRG9jLnhtbFBLBQYAAAAABgAGAFkBAABsBwAAAAA=&#10;">
                <o:lock v:ext="edit" aspectratio="f"/>
                <v:group id="组合 11" o:spid="_x0000_s1026" o:spt="203" style="position:absolute;left:1775;top:134;height:319;width:320;" coordorigin="1775,134" coordsize="320,319"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13" o:spid="_x0000_s1026" o:spt="100" style="position:absolute;left:1775;top:134;height:319;width:320;" filled="f" stroked="t" coordsize="320,319" o:gfxdata="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RsdfvQAA&#10;ANoAAAAPAAAAAAAAAAEAIAAAACIAAABkcnMvZG93bnJldi54bWxQSwECFAAUAAAACACHTuJAMy8F&#10;njsAAAA5AAAAEAAAAAAAAAABACAAAAAMAQAAZHJzL3NoYXBleG1sLnhtbFBLBQYAAAAABgAGAFsB&#10;AAC2AwAAAAA=&#10;" path="m319,159l305,224,267,277,211,310,166,319,142,317,78,295,30,252,3,194,0,172,1,147,22,81,63,32,120,4,141,0,167,1,234,21,284,61,313,116,318,137e">
                    <v:fill on="f" focussize="0,0"/>
                    <v:stroke weight="0.456141732283465pt" color="#000000" joinstyle="round"/>
                    <v:imagedata o:title=""/>
                    <o:lock v:ext="edit" aspectratio="f"/>
                  </v:shape>
                  <v:shape id="文本框 12" o:spid="_x0000_s1026" o:spt="202" type="#_x0000_t202" style="position:absolute;left:1770;top:129;height:328;width:329;"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314" w:lineRule="exact"/>
                            <w:ind w:left="94"/>
                            <w:rPr>
                              <w:rFonts w:ascii="仿宋" w:hAnsi="仿宋" w:eastAsia="仿宋" w:cs="仿宋"/>
                              <w:sz w:val="27"/>
                              <w:szCs w:val="27"/>
                            </w:rPr>
                          </w:pPr>
                          <w:r>
                            <w:rPr>
                              <w:rFonts w:ascii="仿宋"/>
                              <w:w w:val="99"/>
                              <w:sz w:val="27"/>
                            </w:rPr>
                            <w:t>1</w:t>
                          </w:r>
                        </w:p>
                      </w:txbxContent>
                    </v:textbox>
                  </v:shape>
                </v:group>
              </v:group>
            </w:pict>
          </mc:Fallback>
        </mc:AlternateContent>
      </w:r>
      <w:r>
        <w:rPr>
          <w:rFonts w:hint="default" w:ascii="Times New Roman" w:hAnsi="Times New Roman" w:cs="Times New Roman"/>
          <w:color w:val="auto"/>
          <w:lang w:eastAsia="zh-CN"/>
        </w:rPr>
        <w:t>既往学业表现：包括大学期间学习成绩，综合表现以及创新创业能力。</w:t>
      </w:r>
    </w:p>
    <w:p>
      <w:pPr>
        <w:pStyle w:val="3"/>
        <w:keepNext w:val="0"/>
        <w:keepLines w:val="0"/>
        <w:pageBreakBefore w:val="0"/>
        <w:widowControl w:val="0"/>
        <w:kinsoku/>
        <w:wordWrap/>
        <w:overflowPunct/>
        <w:topLinePunct w:val="0"/>
        <w:autoSpaceDE/>
        <w:autoSpaceDN/>
        <w:bidi w:val="0"/>
        <w:adjustRightInd/>
        <w:snapToGrid/>
        <w:spacing w:line="312" w:lineRule="auto"/>
        <w:ind w:left="212" w:right="14" w:firstLine="1281"/>
        <w:textAlignment w:val="auto"/>
        <w:rPr>
          <w:rFonts w:hint="default" w:ascii="Times New Roman" w:hAnsi="Times New Roman" w:cs="Times New Roman"/>
          <w:color w:val="auto"/>
          <w:lang w:eastAsia="zh-CN"/>
        </w:rPr>
      </w:pPr>
      <w:r>
        <w:rPr>
          <w:rFonts w:hint="default" w:ascii="Times New Roman" w:hAnsi="Times New Roman" w:cs="Times New Roman"/>
          <w:color w:val="auto"/>
        </w:rPr>
        <mc:AlternateContent>
          <mc:Choice Requires="wpg">
            <w:drawing>
              <wp:anchor distT="0" distB="0" distL="114300" distR="114300" simplePos="0" relativeHeight="251660288" behindDoc="1" locked="0" layoutInCell="1" allowOverlap="1">
                <wp:simplePos x="0" y="0"/>
                <wp:positionH relativeFrom="page">
                  <wp:posOffset>1123950</wp:posOffset>
                </wp:positionH>
                <wp:positionV relativeFrom="paragraph">
                  <wp:posOffset>81280</wp:posOffset>
                </wp:positionV>
                <wp:extent cx="208915" cy="208280"/>
                <wp:effectExtent l="1270" t="1905" r="3175" b="3175"/>
                <wp:wrapNone/>
                <wp:docPr id="13" name="组合 6"/>
                <wp:cNvGraphicFramePr/>
                <a:graphic xmlns:a="http://schemas.openxmlformats.org/drawingml/2006/main">
                  <a:graphicData uri="http://schemas.microsoft.com/office/word/2010/wordprocessingGroup">
                    <wpg:wgp>
                      <wpg:cNvGrpSpPr/>
                      <wpg:grpSpPr>
                        <a:xfrm>
                          <a:off x="0" y="0"/>
                          <a:ext cx="208915" cy="208280"/>
                          <a:chOff x="1770" y="128"/>
                          <a:chExt cx="329" cy="328"/>
                        </a:xfrm>
                      </wpg:grpSpPr>
                      <wpg:grpSp>
                        <wpg:cNvPr id="12" name="组合 7"/>
                        <wpg:cNvGrpSpPr/>
                        <wpg:grpSpPr>
                          <a:xfrm>
                            <a:off x="1775" y="132"/>
                            <a:ext cx="320" cy="319"/>
                            <a:chOff x="1775" y="132"/>
                            <a:chExt cx="320" cy="319"/>
                          </a:xfrm>
                        </wpg:grpSpPr>
                        <wps:wsp>
                          <wps:cNvPr id="10" name="任意多边形 9"/>
                          <wps:cNvSpPr/>
                          <wps:spPr>
                            <a:xfrm>
                              <a:off x="1775" y="132"/>
                              <a:ext cx="320" cy="319"/>
                            </a:xfrm>
                            <a:custGeom>
                              <a:avLst/>
                              <a:gdLst/>
                              <a:ahLst/>
                              <a:cxnLst/>
                              <a:pathLst>
                                <a:path w="320" h="319">
                                  <a:moveTo>
                                    <a:pt x="319" y="159"/>
                                  </a:moveTo>
                                  <a:lnTo>
                                    <a:pt x="305" y="225"/>
                                  </a:lnTo>
                                  <a:lnTo>
                                    <a:pt x="267" y="278"/>
                                  </a:lnTo>
                                  <a:lnTo>
                                    <a:pt x="211" y="311"/>
                                  </a:lnTo>
                                  <a:lnTo>
                                    <a:pt x="166" y="319"/>
                                  </a:lnTo>
                                  <a:lnTo>
                                    <a:pt x="142" y="318"/>
                                  </a:lnTo>
                                  <a:lnTo>
                                    <a:pt x="78" y="296"/>
                                  </a:lnTo>
                                  <a:lnTo>
                                    <a:pt x="30" y="253"/>
                                  </a:lnTo>
                                  <a:lnTo>
                                    <a:pt x="3" y="194"/>
                                  </a:lnTo>
                                  <a:lnTo>
                                    <a:pt x="0" y="173"/>
                                  </a:lnTo>
                                  <a:lnTo>
                                    <a:pt x="1" y="147"/>
                                  </a:lnTo>
                                  <a:lnTo>
                                    <a:pt x="22" y="81"/>
                                  </a:lnTo>
                                  <a:lnTo>
                                    <a:pt x="63" y="32"/>
                                  </a:lnTo>
                                  <a:lnTo>
                                    <a:pt x="120" y="4"/>
                                  </a:lnTo>
                                  <a:lnTo>
                                    <a:pt x="141" y="0"/>
                                  </a:lnTo>
                                  <a:lnTo>
                                    <a:pt x="167" y="2"/>
                                  </a:lnTo>
                                  <a:lnTo>
                                    <a:pt x="234" y="22"/>
                                  </a:lnTo>
                                  <a:lnTo>
                                    <a:pt x="284" y="62"/>
                                  </a:lnTo>
                                  <a:lnTo>
                                    <a:pt x="313" y="117"/>
                                  </a:lnTo>
                                  <a:lnTo>
                                    <a:pt x="318" y="138"/>
                                  </a:lnTo>
                                </a:path>
                              </a:pathLst>
                            </a:custGeom>
                            <a:noFill/>
                            <a:ln w="5793" cap="flat" cmpd="sng">
                              <a:solidFill>
                                <a:srgbClr val="000000"/>
                              </a:solidFill>
                              <a:prstDash val="solid"/>
                              <a:headEnd type="none" w="med" len="med"/>
                              <a:tailEnd type="none" w="med" len="med"/>
                            </a:ln>
                          </wps:spPr>
                          <wps:bodyPr upright="1"/>
                        </wps:wsp>
                        <wps:wsp>
                          <wps:cNvPr id="11" name="文本框 8"/>
                          <wps:cNvSpPr txBox="1"/>
                          <wps:spPr>
                            <a:xfrm>
                              <a:off x="1770" y="128"/>
                              <a:ext cx="329" cy="328"/>
                            </a:xfrm>
                            <a:prstGeom prst="rect">
                              <a:avLst/>
                            </a:prstGeom>
                            <a:noFill/>
                            <a:ln>
                              <a:noFill/>
                            </a:ln>
                          </wps:spPr>
                          <wps:txbx>
                            <w:txbxContent>
                              <w:p>
                                <w:pPr>
                                  <w:spacing w:line="313" w:lineRule="exact"/>
                                  <w:ind w:left="94"/>
                                  <w:rPr>
                                    <w:rFonts w:ascii="仿宋" w:hAnsi="仿宋" w:eastAsia="仿宋" w:cs="仿宋"/>
                                    <w:sz w:val="27"/>
                                    <w:szCs w:val="27"/>
                                  </w:rPr>
                                </w:pPr>
                                <w:r>
                                  <w:rPr>
                                    <w:rFonts w:ascii="仿宋"/>
                                    <w:w w:val="99"/>
                                    <w:sz w:val="27"/>
                                  </w:rPr>
                                  <w:t>2</w:t>
                                </w:r>
                              </w:p>
                            </w:txbxContent>
                          </wps:txbx>
                          <wps:bodyPr lIns="0" tIns="0" rIns="0" bIns="0" upright="1"/>
                        </wps:wsp>
                      </wpg:grpSp>
                    </wpg:wgp>
                  </a:graphicData>
                </a:graphic>
              </wp:anchor>
            </w:drawing>
          </mc:Choice>
          <mc:Fallback>
            <w:pict>
              <v:group id="组合 6" o:spid="_x0000_s1026" o:spt="203" style="position:absolute;left:0pt;margin-left:88.5pt;margin-top:6.4pt;height:16.4pt;width:16.45pt;mso-position-horizontal-relative:page;z-index:-251656192;mso-width-relative:page;mso-height-relative:page;" coordorigin="1770,128" coordsize="329,328" o:gfxdata="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">
                <o:lock v:ext="edit" aspectratio="f"/>
                <v:group id="组合 7" o:spid="_x0000_s1026" o:spt="203" style="position:absolute;left:1775;top:132;height:319;width:320;" coordorigin="1775,132" coordsize="320,319"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任意多边形 9" o:spid="_x0000_s1026" o:spt="100" style="position:absolute;left:1775;top:132;height:319;width:320;" filled="f" stroked="t" coordsize="320,319" o:gfxdata="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QqHzvQAA&#10;ANsAAAAPAAAAAAAAAAEAIAAAACIAAABkcnMvZG93bnJldi54bWxQSwECFAAUAAAACACHTuJAMy8F&#10;njsAAAA5AAAAEAAAAAAAAAABACAAAAAMAQAAZHJzL3NoYXBleG1sLnhtbFBLBQYAAAAABgAGAFsB&#10;AAC2AwAAAAA=&#10;" path="m319,159l305,225,267,278,211,311,166,319,142,318,78,296,30,253,3,194,0,173,1,147,22,81,63,32,120,4,141,0,167,2,234,22,284,62,313,117,318,138e">
                    <v:fill on="f" focussize="0,0"/>
                    <v:stroke weight="0.456141732283465pt" color="#000000" joinstyle="round"/>
                    <v:imagedata o:title=""/>
                    <o:lock v:ext="edit" aspectratio="f"/>
                  </v:shape>
                  <v:shape id="文本框 8" o:spid="_x0000_s1026" o:spt="202" type="#_x0000_t202" style="position:absolute;left:1770;top:128;height:328;width:329;"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313" w:lineRule="exact"/>
                            <w:ind w:left="94"/>
                            <w:rPr>
                              <w:rFonts w:ascii="仿宋" w:hAnsi="仿宋" w:eastAsia="仿宋" w:cs="仿宋"/>
                              <w:sz w:val="27"/>
                              <w:szCs w:val="27"/>
                            </w:rPr>
                          </w:pPr>
                          <w:r>
                            <w:rPr>
                              <w:rFonts w:ascii="仿宋"/>
                              <w:w w:val="99"/>
                              <w:sz w:val="27"/>
                            </w:rPr>
                            <w:t>2</w:t>
                          </w:r>
                        </w:p>
                      </w:txbxContent>
                    </v:textbox>
                  </v:shape>
                </v:group>
              </v:group>
            </w:pict>
          </mc:Fallback>
        </mc:AlternateContent>
      </w:r>
      <w:r>
        <w:rPr>
          <w:rFonts w:hint="default" w:ascii="Times New Roman" w:hAnsi="Times New Roman" w:cs="Times New Roman"/>
          <w:color w:val="auto"/>
          <w:spacing w:val="-4"/>
          <w:w w:val="95"/>
          <w:lang w:eastAsia="zh-CN"/>
        </w:rPr>
        <w:t>专业素质和能力：重点考察考生综合运用所学知识观察问题、</w:t>
      </w:r>
      <w:r>
        <w:rPr>
          <w:rFonts w:hint="default" w:ascii="Times New Roman" w:hAnsi="Times New Roman" w:cs="Times New Roman"/>
          <w:color w:val="auto"/>
          <w:lang w:eastAsia="zh-CN"/>
        </w:rPr>
        <w:t>分析问题和解决问题的能力，对本专业发展动态的了解及发展潜力，</w:t>
      </w:r>
      <w:r>
        <w:rPr>
          <w:rFonts w:hint="default" w:ascii="Times New Roman" w:hAnsi="Times New Roman" w:cs="Times New Roman"/>
          <w:color w:val="auto"/>
          <w:spacing w:val="-9"/>
          <w:lang w:eastAsia="zh-CN"/>
        </w:rPr>
        <w:t>创新能力（学术学位硕士研究生专业考生）或职业精神、职业能力（专</w:t>
      </w:r>
      <w:r>
        <w:rPr>
          <w:rFonts w:hint="default" w:ascii="Times New Roman" w:hAnsi="Times New Roman" w:cs="Times New Roman"/>
          <w:color w:val="auto"/>
          <w:spacing w:val="-11"/>
          <w:lang w:eastAsia="zh-CN"/>
        </w:rPr>
        <w:t>业学位硕士研究生专业考生）。</w:t>
      </w:r>
    </w:p>
    <w:p>
      <w:pPr>
        <w:pStyle w:val="3"/>
        <w:keepNext w:val="0"/>
        <w:keepLines w:val="0"/>
        <w:pageBreakBefore w:val="0"/>
        <w:widowControl w:val="0"/>
        <w:kinsoku/>
        <w:wordWrap/>
        <w:overflowPunct/>
        <w:topLinePunct w:val="0"/>
        <w:autoSpaceDE/>
        <w:autoSpaceDN/>
        <w:bidi w:val="0"/>
        <w:adjustRightInd/>
        <w:snapToGrid/>
        <w:spacing w:before="34" w:line="312" w:lineRule="auto"/>
        <w:ind w:left="1494" w:right="14"/>
        <w:textAlignment w:val="auto"/>
        <w:rPr>
          <w:rFonts w:hint="default" w:ascii="Times New Roman" w:hAnsi="Times New Roman" w:cs="Times New Roman"/>
          <w:color w:val="auto"/>
          <w:lang w:eastAsia="zh-CN"/>
        </w:rPr>
      </w:pPr>
      <w:r>
        <w:rPr>
          <w:rFonts w:hint="default" w:ascii="Times New Roman" w:hAnsi="Times New Roman" w:cs="Times New Roman"/>
          <w:color w:val="auto"/>
        </w:rPr>
        <mc:AlternateContent>
          <mc:Choice Requires="wpg">
            <w:drawing>
              <wp:anchor distT="0" distB="0" distL="114300" distR="114300" simplePos="0" relativeHeight="251659264" behindDoc="0" locked="0" layoutInCell="1" allowOverlap="1">
                <wp:simplePos x="0" y="0"/>
                <wp:positionH relativeFrom="page">
                  <wp:posOffset>1123950</wp:posOffset>
                </wp:positionH>
                <wp:positionV relativeFrom="paragraph">
                  <wp:posOffset>81915</wp:posOffset>
                </wp:positionV>
                <wp:extent cx="208915" cy="208280"/>
                <wp:effectExtent l="1270" t="1270" r="3175" b="3810"/>
                <wp:wrapNone/>
                <wp:docPr id="5" name="组合 2"/>
                <wp:cNvGraphicFramePr/>
                <a:graphic xmlns:a="http://schemas.openxmlformats.org/drawingml/2006/main">
                  <a:graphicData uri="http://schemas.microsoft.com/office/word/2010/wordprocessingGroup">
                    <wpg:wgp>
                      <wpg:cNvGrpSpPr/>
                      <wpg:grpSpPr>
                        <a:xfrm>
                          <a:off x="0" y="0"/>
                          <a:ext cx="208915" cy="208280"/>
                          <a:chOff x="1770" y="129"/>
                          <a:chExt cx="329" cy="328"/>
                        </a:xfrm>
                      </wpg:grpSpPr>
                      <wpg:grpSp>
                        <wpg:cNvPr id="4" name="组合 3"/>
                        <wpg:cNvGrpSpPr/>
                        <wpg:grpSpPr>
                          <a:xfrm>
                            <a:off x="1775" y="134"/>
                            <a:ext cx="320" cy="319"/>
                            <a:chOff x="1775" y="134"/>
                            <a:chExt cx="320" cy="319"/>
                          </a:xfrm>
                        </wpg:grpSpPr>
                        <wps:wsp>
                          <wps:cNvPr id="2" name="任意多边形 5"/>
                          <wps:cNvSpPr/>
                          <wps:spPr>
                            <a:xfrm>
                              <a:off x="1775" y="134"/>
                              <a:ext cx="320" cy="319"/>
                            </a:xfrm>
                            <a:custGeom>
                              <a:avLst/>
                              <a:gdLst/>
                              <a:ahLst/>
                              <a:cxnLst/>
                              <a:pathLst>
                                <a:path w="320" h="319">
                                  <a:moveTo>
                                    <a:pt x="319" y="159"/>
                                  </a:moveTo>
                                  <a:lnTo>
                                    <a:pt x="305" y="224"/>
                                  </a:lnTo>
                                  <a:lnTo>
                                    <a:pt x="267" y="277"/>
                                  </a:lnTo>
                                  <a:lnTo>
                                    <a:pt x="211" y="310"/>
                                  </a:lnTo>
                                  <a:lnTo>
                                    <a:pt x="166" y="319"/>
                                  </a:lnTo>
                                  <a:lnTo>
                                    <a:pt x="142" y="317"/>
                                  </a:lnTo>
                                  <a:lnTo>
                                    <a:pt x="78" y="295"/>
                                  </a:lnTo>
                                  <a:lnTo>
                                    <a:pt x="30" y="252"/>
                                  </a:lnTo>
                                  <a:lnTo>
                                    <a:pt x="3" y="194"/>
                                  </a:lnTo>
                                  <a:lnTo>
                                    <a:pt x="0" y="172"/>
                                  </a:lnTo>
                                  <a:lnTo>
                                    <a:pt x="1" y="147"/>
                                  </a:lnTo>
                                  <a:lnTo>
                                    <a:pt x="22" y="81"/>
                                  </a:lnTo>
                                  <a:lnTo>
                                    <a:pt x="63" y="32"/>
                                  </a:lnTo>
                                  <a:lnTo>
                                    <a:pt x="120" y="4"/>
                                  </a:lnTo>
                                  <a:lnTo>
                                    <a:pt x="141" y="0"/>
                                  </a:lnTo>
                                  <a:lnTo>
                                    <a:pt x="167" y="1"/>
                                  </a:lnTo>
                                  <a:lnTo>
                                    <a:pt x="234" y="21"/>
                                  </a:lnTo>
                                  <a:lnTo>
                                    <a:pt x="284" y="61"/>
                                  </a:lnTo>
                                  <a:lnTo>
                                    <a:pt x="313" y="116"/>
                                  </a:lnTo>
                                  <a:lnTo>
                                    <a:pt x="318" y="137"/>
                                  </a:lnTo>
                                </a:path>
                              </a:pathLst>
                            </a:custGeom>
                            <a:noFill/>
                            <a:ln w="5793" cap="flat" cmpd="sng">
                              <a:solidFill>
                                <a:srgbClr val="000000"/>
                              </a:solidFill>
                              <a:prstDash val="solid"/>
                              <a:headEnd type="none" w="med" len="med"/>
                              <a:tailEnd type="none" w="med" len="med"/>
                            </a:ln>
                          </wps:spPr>
                          <wps:bodyPr upright="1"/>
                        </wps:wsp>
                        <wps:wsp>
                          <wps:cNvPr id="3" name="文本框 4"/>
                          <wps:cNvSpPr txBox="1"/>
                          <wps:spPr>
                            <a:xfrm>
                              <a:off x="1770" y="129"/>
                              <a:ext cx="329" cy="328"/>
                            </a:xfrm>
                            <a:prstGeom prst="rect">
                              <a:avLst/>
                            </a:prstGeom>
                            <a:noFill/>
                            <a:ln>
                              <a:noFill/>
                            </a:ln>
                          </wps:spPr>
                          <wps:txbx>
                            <w:txbxContent>
                              <w:p>
                                <w:pPr>
                                  <w:spacing w:line="314" w:lineRule="exact"/>
                                  <w:ind w:left="94"/>
                                  <w:rPr>
                                    <w:rFonts w:ascii="仿宋" w:hAnsi="仿宋" w:eastAsia="仿宋" w:cs="仿宋"/>
                                    <w:sz w:val="27"/>
                                    <w:szCs w:val="27"/>
                                  </w:rPr>
                                </w:pPr>
                                <w:r>
                                  <w:rPr>
                                    <w:rFonts w:ascii="仿宋"/>
                                    <w:w w:val="99"/>
                                    <w:sz w:val="27"/>
                                  </w:rPr>
                                  <w:t>3</w:t>
                                </w:r>
                              </w:p>
                            </w:txbxContent>
                          </wps:txbx>
                          <wps:bodyPr lIns="0" tIns="0" rIns="0" bIns="0" upright="1"/>
                        </wps:wsp>
                      </wpg:grpSp>
                    </wpg:wgp>
                  </a:graphicData>
                </a:graphic>
              </wp:anchor>
            </w:drawing>
          </mc:Choice>
          <mc:Fallback>
            <w:pict>
              <v:group id="组合 2" o:spid="_x0000_s1026" o:spt="203" style="position:absolute;left:0pt;margin-left:88.5pt;margin-top:6.45pt;height:16.4pt;width:16.45pt;mso-position-horizontal-relative:page;z-index:251659264;mso-width-relative:page;mso-height-relative:page;" coordorigin="1770,129" coordsize="329,328" o:gfxdata="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">
                <o:lock v:ext="edit" aspectratio="f"/>
                <v:group id="组合 3" o:spid="_x0000_s1026" o:spt="203" style="position:absolute;left:1775;top:134;height:319;width:320;" coordorigin="1775,134" coordsize="320,319"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1775;top:134;height:319;width:320;" filled="f" stroked="t" coordsize="320,319" o:gfxdata="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9wVy8AAAA&#10;2gAAAA8AAAAAAAAAAQAgAAAAIgAAAGRycy9kb3ducmV2LnhtbFBLAQIUABQAAAAIAIdO4kAzLwWe&#10;OwAAADkAAAAQAAAAAAAAAAEAIAAAAAsBAABkcnMvc2hhcGV4bWwueG1sUEsFBgAAAAAGAAYAWwEA&#10;ALUDAAAAAA==&#10;" path="m319,159l305,224,267,277,211,310,166,319,142,317,78,295,30,252,3,194,0,172,1,147,22,81,63,32,120,4,141,0,167,1,234,21,284,61,313,116,318,137e">
                    <v:fill on="f" focussize="0,0"/>
                    <v:stroke weight="0.456141732283465pt" color="#000000" joinstyle="round"/>
                    <v:imagedata o:title=""/>
                    <o:lock v:ext="edit" aspectratio="f"/>
                  </v:shape>
                  <v:shape id="文本框 4" o:spid="_x0000_s1026" o:spt="202" type="#_x0000_t202" style="position:absolute;left:1770;top:129;height:328;width:329;"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314" w:lineRule="exact"/>
                            <w:ind w:left="94"/>
                            <w:rPr>
                              <w:rFonts w:ascii="仿宋" w:hAnsi="仿宋" w:eastAsia="仿宋" w:cs="仿宋"/>
                              <w:sz w:val="27"/>
                              <w:szCs w:val="27"/>
                            </w:rPr>
                          </w:pPr>
                          <w:r>
                            <w:rPr>
                              <w:rFonts w:ascii="仿宋"/>
                              <w:w w:val="99"/>
                              <w:sz w:val="27"/>
                            </w:rPr>
                            <w:t>3</w:t>
                          </w:r>
                        </w:p>
                      </w:txbxContent>
                    </v:textbox>
                  </v:shape>
                </v:group>
              </v:group>
            </w:pict>
          </mc:Fallback>
        </mc:AlternateContent>
      </w:r>
      <w:r>
        <w:rPr>
          <w:rFonts w:hint="default" w:ascii="Times New Roman" w:hAnsi="Times New Roman" w:cs="Times New Roman"/>
          <w:color w:val="auto"/>
          <w:spacing w:val="-4"/>
          <w:lang w:eastAsia="zh-CN"/>
        </w:rPr>
        <w:t>综合素质和能力：重点考核考生的事业心、责任感、纪律性、</w:t>
      </w:r>
    </w:p>
    <w:p>
      <w:pPr>
        <w:pStyle w:val="3"/>
        <w:keepNext w:val="0"/>
        <w:keepLines w:val="0"/>
        <w:pageBreakBefore w:val="0"/>
        <w:widowControl w:val="0"/>
        <w:kinsoku/>
        <w:wordWrap/>
        <w:overflowPunct/>
        <w:topLinePunct w:val="0"/>
        <w:autoSpaceDE/>
        <w:autoSpaceDN/>
        <w:bidi w:val="0"/>
        <w:adjustRightInd/>
        <w:snapToGrid/>
        <w:spacing w:before="0" w:line="312" w:lineRule="auto"/>
        <w:ind w:left="0" w:leftChars="0" w:firstLine="0" w:firstLineChars="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协作性和心理健康情况，人文素养、举止、表达和礼仪等。</w:t>
      </w:r>
    </w:p>
    <w:p>
      <w:pPr>
        <w:pStyle w:val="3"/>
        <w:keepNext w:val="0"/>
        <w:keepLines w:val="0"/>
        <w:pageBreakBefore w:val="0"/>
        <w:widowControl w:val="0"/>
        <w:tabs>
          <w:tab w:val="left" w:pos="3460"/>
          <w:tab w:val="left" w:pos="8666"/>
        </w:tabs>
        <w:kinsoku/>
        <w:wordWrap/>
        <w:overflowPunct/>
        <w:topLinePunct w:val="0"/>
        <w:autoSpaceDE/>
        <w:autoSpaceDN/>
        <w:bidi w:val="0"/>
        <w:adjustRightInd/>
        <w:snapToGrid/>
        <w:spacing w:before="143" w:line="312" w:lineRule="auto"/>
        <w:ind w:right="109" w:firstLine="64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考生应在2021年3月25日</w:t>
      </w:r>
      <w:r>
        <w:rPr>
          <w:rFonts w:hint="default" w:ascii="Times New Roman" w:hAnsi="Times New Roman" w:cs="Times New Roman"/>
          <w:color w:val="auto"/>
          <w:spacing w:val="-25"/>
          <w:lang w:eastAsia="zh-CN"/>
        </w:rPr>
        <w:t>18：00</w:t>
      </w:r>
      <w:r>
        <w:rPr>
          <w:rFonts w:hint="default" w:ascii="Times New Roman" w:hAnsi="Times New Roman" w:cs="Times New Roman"/>
          <w:color w:val="auto"/>
          <w:lang w:eastAsia="zh-CN"/>
        </w:rPr>
        <w:t>之前提供5项最能够体现自身</w:t>
      </w:r>
      <w:r>
        <w:rPr>
          <w:rFonts w:hint="default" w:ascii="Times New Roman" w:hAnsi="Times New Roman" w:cs="Times New Roman"/>
          <w:color w:val="auto"/>
          <w:spacing w:val="-4"/>
          <w:lang w:eastAsia="zh-CN"/>
        </w:rPr>
        <w:t>综合能力的材料，要求将电子版压缩并统一命名为“报考类别+报考方</w:t>
      </w:r>
      <w:r>
        <w:rPr>
          <w:rFonts w:hint="default" w:ascii="Times New Roman" w:hAnsi="Times New Roman" w:cs="Times New Roman"/>
          <w:color w:val="auto"/>
          <w:lang w:eastAsia="zh-CN"/>
        </w:rPr>
        <w:t>向+姓名”按照报考的研究方向发送到指定邮箱（预防：2771361703@qq.com，临床：yannifeng1979@hotmail.com，基础：</w:t>
      </w:r>
      <w:r>
        <w:rPr>
          <w:rFonts w:hint="default" w:ascii="Times New Roman" w:hAnsi="Times New Roman" w:cs="Times New Roman"/>
          <w:color w:val="auto"/>
        </w:rPr>
        <w:t>ydzhao_house@126.com</w:t>
      </w:r>
      <w:r>
        <w:rPr>
          <w:rFonts w:hint="default" w:ascii="Times New Roman" w:hAnsi="Times New Roman" w:cs="Times New Roman"/>
          <w:color w:val="auto"/>
          <w:spacing w:val="-11"/>
          <w:w w:val="95"/>
          <w:lang w:eastAsia="zh-CN"/>
        </w:rPr>
        <w:t>）。其中学业成绩（成绩单绩点排名）为必须项，</w:t>
      </w:r>
      <w:r>
        <w:rPr>
          <w:rFonts w:hint="default" w:ascii="Times New Roman" w:hAnsi="Times New Roman" w:cs="Times New Roman"/>
          <w:color w:val="auto"/>
          <w:lang w:eastAsia="zh-CN"/>
        </w:rPr>
        <w:t>另外4项可包括主持或参与创新创业项目证明，创新创业项目大赛等获奖证书、专利证书、奖学金证书、参加志愿服务活动获奖证书、科研成果以及其他荣誉或奖励证书等。对于非应届考生，在规定时间内无法提供学业成绩证明者，需在提交的5项材料中选择1项注明作为</w:t>
      </w:r>
      <w:r>
        <w:rPr>
          <w:rFonts w:hint="default" w:ascii="Times New Roman" w:hAnsi="Times New Roman" w:cs="Times New Roman"/>
          <w:color w:val="auto"/>
          <w:spacing w:val="-9"/>
          <w:lang w:eastAsia="zh-CN"/>
        </w:rPr>
        <w:t>学业成绩的替代证明（如奖励，科研成果等），同时本人需书面说明不</w:t>
      </w:r>
      <w:r>
        <w:rPr>
          <w:rFonts w:hint="default" w:ascii="Times New Roman" w:hAnsi="Times New Roman" w:cs="Times New Roman"/>
          <w:color w:val="auto"/>
          <w:lang w:eastAsia="zh-CN"/>
        </w:rPr>
        <w:t>能提交成绩证明的原因，签字拍照后随证明材料一并发送到上述指定邮箱。考生需确保材料真实有效，一经发现有弄虚作假者，取消复试资格。</w:t>
      </w:r>
    </w:p>
    <w:p>
      <w:pPr>
        <w:keepNext w:val="0"/>
        <w:keepLines w:val="0"/>
        <w:pageBreakBefore w:val="0"/>
        <w:widowControl w:val="0"/>
        <w:kinsoku/>
        <w:wordWrap/>
        <w:overflowPunct/>
        <w:topLinePunct w:val="0"/>
        <w:autoSpaceDE/>
        <w:autoSpaceDN/>
        <w:bidi w:val="0"/>
        <w:adjustRightInd/>
        <w:snapToGrid/>
        <w:spacing w:before="47" w:line="312" w:lineRule="auto"/>
        <w:ind w:left="753" w:right="109"/>
        <w:textAlignment w:val="auto"/>
        <w:rPr>
          <w:rFonts w:hint="default" w:ascii="Times New Roman" w:hAnsi="Times New Roman" w:eastAsia="仿宋" w:cs="Times New Roman"/>
          <w:b/>
          <w:bCs/>
          <w:color w:val="auto"/>
          <w:w w:val="99"/>
          <w:sz w:val="32"/>
          <w:szCs w:val="32"/>
          <w:lang w:eastAsia="zh-CN"/>
        </w:rPr>
      </w:pPr>
      <w:r>
        <w:rPr>
          <w:rFonts w:hint="default" w:ascii="Times New Roman" w:hAnsi="Times New Roman" w:eastAsia="仿宋" w:cs="Times New Roman"/>
          <w:b/>
          <w:bCs/>
          <w:color w:val="auto"/>
          <w:sz w:val="32"/>
          <w:szCs w:val="32"/>
          <w:lang w:eastAsia="zh-CN"/>
        </w:rPr>
        <w:t>（3）英语听力和英语口语</w:t>
      </w:r>
    </w:p>
    <w:p>
      <w:pPr>
        <w:keepNext w:val="0"/>
        <w:keepLines w:val="0"/>
        <w:pageBreakBefore w:val="0"/>
        <w:widowControl w:val="0"/>
        <w:tabs>
          <w:tab w:val="left" w:pos="0"/>
        </w:tabs>
        <w:kinsoku/>
        <w:wordWrap/>
        <w:overflowPunct/>
        <w:topLinePunct w:val="0"/>
        <w:autoSpaceDE/>
        <w:autoSpaceDN/>
        <w:bidi w:val="0"/>
        <w:adjustRightInd/>
        <w:snapToGrid/>
        <w:spacing w:before="31" w:line="312" w:lineRule="auto"/>
        <w:ind w:left="13" w:leftChars="0" w:right="109" w:firstLine="646" w:firstLineChars="202"/>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以复试小组人员与考生在线英语交流</w:t>
      </w:r>
      <w:r>
        <w:rPr>
          <w:rFonts w:hint="eastAsia" w:ascii="Times New Roman" w:hAnsi="Times New Roman" w:eastAsia="仿宋" w:cs="Times New Roman"/>
          <w:color w:val="auto"/>
          <w:sz w:val="32"/>
          <w:szCs w:val="32"/>
          <w:lang w:val="en-US" w:eastAsia="zh-CN"/>
        </w:rPr>
        <w:t>的</w:t>
      </w:r>
      <w:r>
        <w:rPr>
          <w:rFonts w:hint="default" w:ascii="Times New Roman" w:hAnsi="Times New Roman" w:eastAsia="仿宋" w:cs="Times New Roman"/>
          <w:color w:val="auto"/>
          <w:sz w:val="32"/>
          <w:szCs w:val="32"/>
          <w:lang w:eastAsia="zh-CN"/>
        </w:rPr>
        <w:t>方式进行考查。</w:t>
      </w:r>
    </w:p>
    <w:p>
      <w:pPr>
        <w:keepNext w:val="0"/>
        <w:keepLines w:val="0"/>
        <w:pageBreakBefore w:val="0"/>
        <w:widowControl w:val="0"/>
        <w:kinsoku/>
        <w:wordWrap/>
        <w:overflowPunct/>
        <w:topLinePunct w:val="0"/>
        <w:autoSpaceDE/>
        <w:autoSpaceDN/>
        <w:bidi w:val="0"/>
        <w:adjustRightInd/>
        <w:snapToGrid/>
        <w:spacing w:before="31" w:line="312" w:lineRule="auto"/>
        <w:ind w:left="753" w:right="109"/>
        <w:textAlignment w:val="auto"/>
        <w:rPr>
          <w:rFonts w:hint="default" w:ascii="Times New Roman" w:hAnsi="Times New Roman" w:eastAsia="仿宋" w:cs="Times New Roman"/>
          <w:b/>
          <w:bCs/>
          <w:color w:val="auto"/>
          <w:w w:val="99"/>
          <w:sz w:val="32"/>
          <w:szCs w:val="32"/>
          <w:lang w:eastAsia="zh-CN"/>
        </w:rPr>
      </w:pPr>
      <w:r>
        <w:rPr>
          <w:rFonts w:hint="default" w:ascii="Times New Roman" w:hAnsi="Times New Roman" w:eastAsia="仿宋" w:cs="Times New Roman"/>
          <w:b/>
          <w:bCs/>
          <w:color w:val="auto"/>
          <w:sz w:val="32"/>
          <w:szCs w:val="32"/>
          <w:lang w:eastAsia="zh-CN"/>
        </w:rPr>
        <w:t>2.同等学历加试</w:t>
      </w:r>
    </w:p>
    <w:p>
      <w:pPr>
        <w:keepNext w:val="0"/>
        <w:keepLines w:val="0"/>
        <w:pageBreakBefore w:val="0"/>
        <w:widowControl w:val="0"/>
        <w:tabs>
          <w:tab w:val="left" w:pos="0"/>
        </w:tabs>
        <w:kinsoku/>
        <w:wordWrap/>
        <w:overflowPunct/>
        <w:topLinePunct w:val="0"/>
        <w:autoSpaceDE/>
        <w:autoSpaceDN/>
        <w:bidi w:val="0"/>
        <w:adjustRightInd/>
        <w:snapToGrid/>
        <w:spacing w:before="31" w:line="312" w:lineRule="auto"/>
        <w:ind w:left="13" w:leftChars="0" w:right="109" w:firstLine="646" w:firstLineChars="202"/>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以同等学力身份报考的考生，复试前应加试报考专业规定的两门</w:t>
      </w:r>
      <w:r>
        <w:rPr>
          <w:rFonts w:hint="default" w:ascii="Times New Roman" w:hAnsi="Times New Roman" w:eastAsia="仿宋" w:cs="Times New Roman"/>
          <w:color w:val="auto"/>
          <w:spacing w:val="-10"/>
          <w:sz w:val="32"/>
          <w:szCs w:val="32"/>
          <w:lang w:eastAsia="zh-CN"/>
        </w:rPr>
        <w:t>科目。采取线上口试作答的方式进行考核。考试时间原则上为</w:t>
      </w:r>
      <w:r>
        <w:rPr>
          <w:rFonts w:hint="default" w:ascii="Times New Roman" w:hAnsi="Times New Roman" w:eastAsia="仿宋" w:cs="Times New Roman"/>
          <w:color w:val="auto"/>
          <w:sz w:val="32"/>
          <w:szCs w:val="32"/>
          <w:lang w:eastAsia="zh-CN"/>
        </w:rPr>
        <w:t>30分钟。加试科目每门课满分100</w:t>
      </w:r>
      <w:r>
        <w:rPr>
          <w:rFonts w:hint="default" w:ascii="Times New Roman" w:hAnsi="Times New Roman" w:eastAsia="仿宋" w:cs="Times New Roman"/>
          <w:color w:val="auto"/>
          <w:spacing w:val="-5"/>
          <w:sz w:val="32"/>
          <w:szCs w:val="32"/>
          <w:lang w:eastAsia="zh-CN"/>
        </w:rPr>
        <w:t>分，每门课成绩合格线为</w:t>
      </w:r>
      <w:r>
        <w:rPr>
          <w:rFonts w:hint="default" w:ascii="Times New Roman" w:hAnsi="Times New Roman" w:eastAsia="仿宋" w:cs="Times New Roman"/>
          <w:color w:val="auto"/>
          <w:sz w:val="32"/>
          <w:szCs w:val="32"/>
          <w:lang w:eastAsia="zh-CN"/>
        </w:rPr>
        <w:t>60</w:t>
      </w:r>
      <w:r>
        <w:rPr>
          <w:rFonts w:hint="default" w:ascii="Times New Roman" w:hAnsi="Times New Roman" w:eastAsia="仿宋" w:cs="Times New Roman"/>
          <w:color w:val="auto"/>
          <w:spacing w:val="-9"/>
          <w:sz w:val="32"/>
          <w:szCs w:val="32"/>
          <w:lang w:eastAsia="zh-CN"/>
        </w:rPr>
        <w:t>分。加试科目成</w:t>
      </w:r>
      <w:r>
        <w:rPr>
          <w:rFonts w:hint="default" w:ascii="Times New Roman" w:hAnsi="Times New Roman" w:eastAsia="仿宋" w:cs="Times New Roman"/>
          <w:color w:val="auto"/>
          <w:sz w:val="32"/>
          <w:szCs w:val="32"/>
          <w:lang w:eastAsia="zh-CN"/>
        </w:rPr>
        <w:t>绩不计入考生复试总成绩，任何一门加试科目成绩达不到合格基本要求者取消复试资格</w:t>
      </w:r>
    </w:p>
    <w:p>
      <w:pPr>
        <w:keepNext w:val="0"/>
        <w:keepLines w:val="0"/>
        <w:pageBreakBefore w:val="0"/>
        <w:widowControl w:val="0"/>
        <w:kinsoku/>
        <w:wordWrap/>
        <w:overflowPunct/>
        <w:topLinePunct w:val="0"/>
        <w:autoSpaceDE/>
        <w:autoSpaceDN/>
        <w:bidi w:val="0"/>
        <w:adjustRightInd/>
        <w:snapToGrid/>
        <w:spacing w:before="31" w:line="312" w:lineRule="auto"/>
        <w:ind w:left="753" w:right="109"/>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3</w:t>
      </w:r>
      <w:r>
        <w:rPr>
          <w:rFonts w:hint="eastAsia" w:ascii="Times New Roman" w:hAnsi="Times New Roman" w:eastAsia="仿宋" w:cs="Times New Roman"/>
          <w:b/>
          <w:bCs/>
          <w:color w:val="auto"/>
          <w:sz w:val="32"/>
          <w:szCs w:val="32"/>
          <w:lang w:val="en-US" w:eastAsia="zh-CN"/>
        </w:rPr>
        <w:t>.</w:t>
      </w:r>
      <w:r>
        <w:rPr>
          <w:rFonts w:hint="default" w:ascii="Times New Roman" w:hAnsi="Times New Roman" w:eastAsia="仿宋" w:cs="Times New Roman"/>
          <w:b/>
          <w:bCs/>
          <w:color w:val="auto"/>
          <w:sz w:val="32"/>
          <w:szCs w:val="32"/>
          <w:lang w:eastAsia="zh-CN"/>
        </w:rPr>
        <w:t>思想政治素质和道德</w:t>
      </w:r>
      <w:r>
        <w:rPr>
          <w:rFonts w:hint="eastAsia" w:ascii="Times New Roman" w:hAnsi="Times New Roman" w:eastAsia="仿宋" w:cs="Times New Roman"/>
          <w:b/>
          <w:bCs/>
          <w:color w:val="auto"/>
          <w:sz w:val="32"/>
          <w:szCs w:val="32"/>
          <w:lang w:val="en-US" w:eastAsia="zh-CN"/>
        </w:rPr>
        <w:t>素质</w:t>
      </w:r>
      <w:r>
        <w:rPr>
          <w:rFonts w:hint="default" w:ascii="Times New Roman" w:hAnsi="Times New Roman" w:eastAsia="仿宋" w:cs="Times New Roman"/>
          <w:b/>
          <w:bCs/>
          <w:color w:val="auto"/>
          <w:sz w:val="32"/>
          <w:szCs w:val="32"/>
          <w:lang w:eastAsia="zh-CN"/>
        </w:rPr>
        <w:t>考核</w:t>
      </w:r>
    </w:p>
    <w:p>
      <w:pPr>
        <w:pStyle w:val="3"/>
        <w:keepNext w:val="0"/>
        <w:keepLines w:val="0"/>
        <w:pageBreakBefore w:val="0"/>
        <w:widowControl w:val="0"/>
        <w:kinsoku/>
        <w:wordWrap/>
        <w:overflowPunct/>
        <w:topLinePunct w:val="0"/>
        <w:autoSpaceDE/>
        <w:autoSpaceDN/>
        <w:bidi w:val="0"/>
        <w:adjustRightInd/>
        <w:snapToGrid/>
        <w:spacing w:before="143" w:line="312" w:lineRule="auto"/>
        <w:ind w:left="212" w:right="14" w:firstLine="64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考核结果以合格、不合格计，考核不合格的不予录取。主要内容包括考生的政治态度、思想表现、道德品质、价值观、遵纪守法、诚</w:t>
      </w:r>
      <w:r>
        <w:rPr>
          <w:rFonts w:hint="default" w:ascii="Times New Roman" w:hAnsi="Times New Roman" w:cs="Times New Roman"/>
          <w:color w:val="auto"/>
          <w:spacing w:val="-4"/>
          <w:lang w:eastAsia="zh-CN"/>
        </w:rPr>
        <w:t>信状况、工作学习态度、职业道德、心理健康情况、宗教信仰等方面。</w:t>
      </w:r>
      <w:r>
        <w:rPr>
          <w:rFonts w:hint="default" w:ascii="Times New Roman" w:hAnsi="Times New Roman" w:cs="Times New Roman"/>
          <w:color w:val="auto"/>
          <w:lang w:eastAsia="zh-CN"/>
        </w:rPr>
        <w:t>通过审查档案材料、单位鉴定意见和面试、面谈等方式进行审核，必要时可采取“函调”的方式。考核结果不计入复试总成绩。</w:t>
      </w:r>
    </w:p>
    <w:p>
      <w:pPr>
        <w:pStyle w:val="2"/>
        <w:keepNext w:val="0"/>
        <w:keepLines w:val="0"/>
        <w:pageBreakBefore w:val="0"/>
        <w:widowControl w:val="0"/>
        <w:kinsoku/>
        <w:wordWrap/>
        <w:overflowPunct/>
        <w:topLinePunct w:val="0"/>
        <w:autoSpaceDE/>
        <w:autoSpaceDN/>
        <w:bidi w:val="0"/>
        <w:adjustRightInd/>
        <w:snapToGrid/>
        <w:spacing w:before="34" w:line="312" w:lineRule="auto"/>
        <w:ind w:left="13" w:leftChars="0" w:right="70" w:rightChars="0" w:firstLine="842" w:firstLineChars="262"/>
        <w:textAlignment w:val="auto"/>
        <w:rPr>
          <w:rFonts w:hint="default" w:ascii="Times New Roman" w:hAnsi="Times New Roman" w:cs="Times New Roman"/>
          <w:color w:val="auto"/>
          <w:spacing w:val="17"/>
          <w:w w:val="95"/>
          <w:lang w:eastAsia="zh-CN"/>
        </w:rPr>
      </w:pP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四</w:t>
      </w:r>
      <w:r>
        <w:rPr>
          <w:rFonts w:hint="default" w:ascii="Times New Roman" w:hAnsi="Times New Roman" w:cs="Times New Roman"/>
          <w:color w:val="auto"/>
          <w:lang w:eastAsia="zh-CN"/>
        </w:rPr>
        <w:t>）复试具体安排</w:t>
      </w:r>
      <w:r>
        <w:rPr>
          <w:rFonts w:hint="eastAsia" w:ascii="Times New Roman" w:hAnsi="Times New Roman" w:cs="Times New Roman"/>
          <w:color w:val="auto"/>
          <w:w w:val="99"/>
          <w:lang w:eastAsia="zh-CN"/>
        </w:rPr>
        <w:t>，</w:t>
      </w:r>
      <w:r>
        <w:rPr>
          <w:rFonts w:hint="default" w:ascii="Times New Roman" w:hAnsi="Times New Roman" w:cs="Times New Roman"/>
          <w:color w:val="auto"/>
          <w:w w:val="95"/>
          <w:lang w:eastAsia="zh-CN"/>
        </w:rPr>
        <w:t>以下为第一批次复试安排，其它批次另行通知。</w:t>
      </w:r>
    </w:p>
    <w:p>
      <w:pPr>
        <w:pStyle w:val="2"/>
        <w:keepNext w:val="0"/>
        <w:keepLines w:val="0"/>
        <w:pageBreakBefore w:val="0"/>
        <w:widowControl w:val="0"/>
        <w:kinsoku/>
        <w:wordWrap/>
        <w:overflowPunct/>
        <w:topLinePunct w:val="0"/>
        <w:autoSpaceDE/>
        <w:autoSpaceDN/>
        <w:bidi w:val="0"/>
        <w:adjustRightInd/>
        <w:snapToGrid/>
        <w:spacing w:before="34" w:line="312" w:lineRule="auto"/>
        <w:ind w:left="853" w:right="1758"/>
        <w:textAlignment w:val="auto"/>
        <w:rPr>
          <w:rFonts w:hint="default" w:ascii="Times New Roman" w:hAnsi="Times New Roman" w:cs="Times New Roman"/>
          <w:color w:val="auto"/>
          <w:w w:val="99"/>
          <w:lang w:eastAsia="zh-CN"/>
        </w:rPr>
      </w:pPr>
      <w:r>
        <w:rPr>
          <w:rFonts w:hint="default" w:ascii="Times New Roman" w:hAnsi="Times New Roman" w:cs="Times New Roman"/>
          <w:color w:val="auto"/>
          <w:lang w:eastAsia="zh-CN"/>
        </w:rPr>
        <w:t>1．缴费</w:t>
      </w:r>
    </w:p>
    <w:p>
      <w:pPr>
        <w:pStyle w:val="3"/>
        <w:keepNext w:val="0"/>
        <w:keepLines w:val="0"/>
        <w:pageBreakBefore w:val="0"/>
        <w:widowControl w:val="0"/>
        <w:kinsoku/>
        <w:wordWrap/>
        <w:overflowPunct/>
        <w:topLinePunct w:val="0"/>
        <w:autoSpaceDE/>
        <w:autoSpaceDN/>
        <w:bidi w:val="0"/>
        <w:adjustRightInd/>
        <w:snapToGrid/>
        <w:spacing w:before="34" w:line="312" w:lineRule="auto"/>
        <w:ind w:left="212" w:right="14" w:firstLine="64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实行网上缴费，复试费180元，未在规定时间内缴费的考生不能参加复试。</w:t>
      </w:r>
    </w:p>
    <w:p>
      <w:pPr>
        <w:pStyle w:val="2"/>
        <w:spacing w:before="31"/>
        <w:ind w:left="774" w:right="14"/>
        <w:rPr>
          <w:rFonts w:hint="default" w:ascii="Times New Roman" w:hAnsi="Times New Roman" w:cs="Times New Roman"/>
          <w:b w:val="0"/>
          <w:bCs w:val="0"/>
          <w:color w:val="auto"/>
          <w:lang w:eastAsia="zh-CN"/>
        </w:rPr>
      </w:pPr>
      <w:r>
        <w:rPr>
          <w:rFonts w:hint="default" w:ascii="Times New Roman" w:hAnsi="Times New Roman" w:cs="Times New Roman"/>
          <w:color w:val="auto"/>
          <w:lang w:eastAsia="zh-CN"/>
        </w:rPr>
        <w:t>2．同等学历加试科目考试时间</w:t>
      </w:r>
    </w:p>
    <w:p>
      <w:pPr>
        <w:spacing w:before="2"/>
        <w:rPr>
          <w:rFonts w:hint="default" w:ascii="Times New Roman" w:hAnsi="Times New Roman" w:eastAsia="仿宋" w:cs="Times New Roman"/>
          <w:b/>
          <w:bCs/>
          <w:color w:val="auto"/>
          <w:sz w:val="5"/>
          <w:szCs w:val="5"/>
          <w:lang w:eastAsia="zh-CN"/>
        </w:rPr>
      </w:pPr>
    </w:p>
    <w:tbl>
      <w:tblPr>
        <w:tblStyle w:val="7"/>
        <w:tblW w:w="0" w:type="auto"/>
        <w:tblInd w:w="101" w:type="dxa"/>
        <w:tblLayout w:type="fixed"/>
        <w:tblCellMar>
          <w:top w:w="0" w:type="dxa"/>
          <w:left w:w="0" w:type="dxa"/>
          <w:bottom w:w="0" w:type="dxa"/>
          <w:right w:w="0" w:type="dxa"/>
        </w:tblCellMar>
      </w:tblPr>
      <w:tblGrid>
        <w:gridCol w:w="2202"/>
        <w:gridCol w:w="3824"/>
        <w:gridCol w:w="3828"/>
      </w:tblGrid>
      <w:tr>
        <w:tblPrEx>
          <w:tblCellMar>
            <w:top w:w="0" w:type="dxa"/>
            <w:left w:w="0" w:type="dxa"/>
            <w:bottom w:w="0" w:type="dxa"/>
            <w:right w:w="0" w:type="dxa"/>
          </w:tblCellMar>
        </w:tblPrEx>
        <w:trPr>
          <w:trHeight w:val="570" w:hRule="exact"/>
        </w:trPr>
        <w:tc>
          <w:tcPr>
            <w:tcW w:w="2202" w:type="dxa"/>
            <w:tcBorders>
              <w:top w:val="single" w:color="000000" w:sz="4" w:space="0"/>
              <w:left w:val="single" w:color="000000" w:sz="4" w:space="0"/>
              <w:bottom w:val="single" w:color="000000" w:sz="4" w:space="0"/>
              <w:right w:val="single" w:color="000000" w:sz="4" w:space="0"/>
            </w:tcBorders>
          </w:tcPr>
          <w:p>
            <w:pPr>
              <w:pStyle w:val="9"/>
              <w:spacing w:before="75"/>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考试时间</w:t>
            </w:r>
          </w:p>
        </w:tc>
        <w:tc>
          <w:tcPr>
            <w:tcW w:w="7652" w:type="dxa"/>
            <w:gridSpan w:val="2"/>
            <w:tcBorders>
              <w:top w:val="single" w:color="000000" w:sz="4" w:space="0"/>
              <w:left w:val="single" w:color="000000" w:sz="4" w:space="0"/>
              <w:bottom w:val="single" w:color="000000" w:sz="4" w:space="0"/>
              <w:right w:val="single" w:color="000000" w:sz="4" w:space="0"/>
            </w:tcBorders>
          </w:tcPr>
          <w:p>
            <w:pPr>
              <w:pStyle w:val="9"/>
              <w:spacing w:before="75"/>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3月26日8：00</w:t>
            </w:r>
          </w:p>
        </w:tc>
      </w:tr>
      <w:tr>
        <w:tblPrEx>
          <w:tblCellMar>
            <w:top w:w="0" w:type="dxa"/>
            <w:left w:w="0" w:type="dxa"/>
            <w:bottom w:w="0" w:type="dxa"/>
            <w:right w:w="0" w:type="dxa"/>
          </w:tblCellMar>
        </w:tblPrEx>
        <w:trPr>
          <w:trHeight w:val="801" w:hRule="exact"/>
        </w:trPr>
        <w:tc>
          <w:tcPr>
            <w:tcW w:w="2202" w:type="dxa"/>
            <w:tcBorders>
              <w:top w:val="single" w:color="000000" w:sz="4" w:space="0"/>
              <w:left w:val="single" w:color="000000" w:sz="4" w:space="0"/>
              <w:bottom w:val="single" w:color="000000" w:sz="4" w:space="0"/>
              <w:right w:val="single" w:color="000000" w:sz="4" w:space="0"/>
            </w:tcBorders>
          </w:tcPr>
          <w:p>
            <w:pPr>
              <w:pStyle w:val="9"/>
              <w:spacing w:before="6"/>
              <w:jc w:val="center"/>
              <w:rPr>
                <w:rFonts w:hint="default" w:ascii="Times New Roman" w:hAnsi="Times New Roman" w:eastAsia="仿宋" w:cs="Times New Roman"/>
                <w:b/>
                <w:bCs/>
                <w:color w:val="auto"/>
                <w:sz w:val="23"/>
                <w:szCs w:val="23"/>
              </w:rPr>
            </w:pPr>
          </w:p>
          <w:p>
            <w:pPr>
              <w:pStyle w:val="9"/>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加试科目</w:t>
            </w:r>
          </w:p>
        </w:tc>
        <w:tc>
          <w:tcPr>
            <w:tcW w:w="3824" w:type="dxa"/>
            <w:tcBorders>
              <w:top w:val="single" w:color="000000" w:sz="4" w:space="0"/>
              <w:left w:val="single" w:color="000000" w:sz="4" w:space="0"/>
              <w:bottom w:val="single" w:color="000000" w:sz="4" w:space="0"/>
              <w:right w:val="single" w:color="000000" w:sz="4" w:space="0"/>
            </w:tcBorders>
          </w:tcPr>
          <w:p>
            <w:pPr>
              <w:pStyle w:val="9"/>
              <w:spacing w:before="6"/>
              <w:rPr>
                <w:rFonts w:hint="default" w:ascii="Times New Roman" w:hAnsi="Times New Roman" w:eastAsia="仿宋" w:cs="Times New Roman"/>
                <w:b/>
                <w:bCs/>
                <w:color w:val="auto"/>
                <w:sz w:val="23"/>
                <w:szCs w:val="23"/>
              </w:rPr>
            </w:pPr>
          </w:p>
          <w:p>
            <w:pPr>
              <w:pStyle w:val="9"/>
              <w:ind w:left="947"/>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兽医微生物学</w:t>
            </w:r>
          </w:p>
        </w:tc>
        <w:tc>
          <w:tcPr>
            <w:tcW w:w="3828" w:type="dxa"/>
            <w:tcBorders>
              <w:top w:val="single" w:color="000000" w:sz="4" w:space="0"/>
              <w:left w:val="single" w:color="000000" w:sz="4" w:space="0"/>
              <w:bottom w:val="single" w:color="000000" w:sz="4" w:space="0"/>
              <w:right w:val="single" w:color="000000" w:sz="4" w:space="0"/>
            </w:tcBorders>
          </w:tcPr>
          <w:p>
            <w:pPr>
              <w:pStyle w:val="9"/>
              <w:spacing w:before="6"/>
              <w:rPr>
                <w:rFonts w:hint="default" w:ascii="Times New Roman" w:hAnsi="Times New Roman" w:eastAsia="仿宋" w:cs="Times New Roman"/>
                <w:b/>
                <w:bCs/>
                <w:color w:val="auto"/>
                <w:sz w:val="23"/>
                <w:szCs w:val="23"/>
              </w:rPr>
            </w:pPr>
          </w:p>
          <w:p>
            <w:pPr>
              <w:pStyle w:val="9"/>
              <w:ind w:left="1388"/>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兽医药理学</w:t>
            </w:r>
          </w:p>
        </w:tc>
      </w:tr>
    </w:tbl>
    <w:p>
      <w:pPr>
        <w:rPr>
          <w:rFonts w:hint="default" w:ascii="Times New Roman" w:hAnsi="Times New Roman" w:eastAsia="仿宋" w:cs="Times New Roman"/>
          <w:b/>
          <w:bCs/>
          <w:color w:val="auto"/>
          <w:sz w:val="20"/>
          <w:szCs w:val="20"/>
        </w:rPr>
      </w:pPr>
    </w:p>
    <w:p>
      <w:pPr>
        <w:tabs>
          <w:tab w:val="left" w:pos="1472"/>
        </w:tabs>
        <w:ind w:left="841" w:right="14"/>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w w:val="95"/>
          <w:sz w:val="32"/>
          <w:szCs w:val="32"/>
        </w:rPr>
        <w:t>3.</w:t>
      </w:r>
      <w:r>
        <w:rPr>
          <w:rFonts w:hint="eastAsia" w:ascii="Times New Roman" w:hAnsi="Times New Roman" w:eastAsia="仿宋" w:cs="Times New Roman"/>
          <w:b/>
          <w:bCs/>
          <w:color w:val="auto"/>
          <w:w w:val="95"/>
          <w:sz w:val="32"/>
          <w:szCs w:val="32"/>
          <w:lang w:val="en-US" w:eastAsia="zh-CN"/>
        </w:rPr>
        <w:t xml:space="preserve"> </w:t>
      </w:r>
      <w:r>
        <w:rPr>
          <w:rFonts w:hint="default" w:ascii="Times New Roman" w:hAnsi="Times New Roman" w:eastAsia="仿宋" w:cs="Times New Roman"/>
          <w:b/>
          <w:bCs/>
          <w:color w:val="auto"/>
          <w:sz w:val="32"/>
          <w:szCs w:val="32"/>
        </w:rPr>
        <w:t>综合测试时间安排</w:t>
      </w:r>
    </w:p>
    <w:p>
      <w:pPr>
        <w:pStyle w:val="3"/>
        <w:keepNext w:val="0"/>
        <w:keepLines w:val="0"/>
        <w:pageBreakBefore w:val="0"/>
        <w:widowControl w:val="0"/>
        <w:kinsoku/>
        <w:wordWrap/>
        <w:overflowPunct/>
        <w:topLinePunct w:val="0"/>
        <w:autoSpaceDE/>
        <w:autoSpaceDN/>
        <w:bidi w:val="0"/>
        <w:adjustRightInd/>
        <w:snapToGrid/>
        <w:spacing w:before="140" w:line="312" w:lineRule="auto"/>
        <w:ind w:left="850" w:right="11"/>
        <w:textAlignment w:val="auto"/>
        <w:rPr>
          <w:rFonts w:hint="default" w:ascii="Times New Roman" w:hAnsi="Times New Roman" w:eastAsia="宋体" w:cs="Times New Roman"/>
          <w:color w:val="auto"/>
          <w:lang w:eastAsia="zh-CN"/>
        </w:rPr>
      </w:pPr>
      <w:r>
        <w:rPr>
          <w:rFonts w:hint="default" w:ascii="Times New Roman" w:hAnsi="Times New Roman" w:eastAsia="Times New Roman" w:cs="Times New Roman"/>
          <w:color w:val="auto"/>
          <w:lang w:eastAsia="zh-CN"/>
        </w:rPr>
        <w:t>3</w:t>
      </w:r>
      <w:r>
        <w:rPr>
          <w:rFonts w:hint="default" w:ascii="Times New Roman" w:hAnsi="Times New Roman" w:eastAsia="宋体" w:cs="Times New Roman"/>
          <w:color w:val="auto"/>
          <w:lang w:eastAsia="zh-CN"/>
        </w:rPr>
        <w:t>月</w:t>
      </w:r>
      <w:r>
        <w:rPr>
          <w:rFonts w:hint="default" w:ascii="Times New Roman" w:hAnsi="Times New Roman" w:eastAsia="Times New Roman" w:cs="Times New Roman"/>
          <w:color w:val="auto"/>
          <w:lang w:eastAsia="zh-CN"/>
        </w:rPr>
        <w:t>26</w:t>
      </w:r>
      <w:r>
        <w:rPr>
          <w:rFonts w:hint="default" w:ascii="Times New Roman" w:hAnsi="Times New Roman" w:eastAsia="宋体" w:cs="Times New Roman"/>
          <w:color w:val="auto"/>
          <w:lang w:eastAsia="zh-CN"/>
        </w:rPr>
        <w:t>日上午</w:t>
      </w:r>
      <w:r>
        <w:rPr>
          <w:rFonts w:hint="default" w:ascii="Times New Roman" w:hAnsi="Times New Roman" w:eastAsia="Times New Roman" w:cs="Times New Roman"/>
          <w:color w:val="auto"/>
          <w:lang w:eastAsia="zh-CN"/>
        </w:rPr>
        <w:t>8</w:t>
      </w:r>
      <w:r>
        <w:rPr>
          <w:rFonts w:hint="default" w:ascii="Times New Roman" w:hAnsi="Times New Roman" w:eastAsia="宋体" w:cs="Times New Roman"/>
          <w:color w:val="auto"/>
          <w:lang w:eastAsia="zh-CN"/>
        </w:rPr>
        <w:t>：</w:t>
      </w:r>
      <w:r>
        <w:rPr>
          <w:rFonts w:hint="default" w:ascii="Times New Roman" w:hAnsi="Times New Roman" w:eastAsia="Times New Roman" w:cs="Times New Roman"/>
          <w:color w:val="auto"/>
          <w:lang w:eastAsia="zh-CN"/>
        </w:rPr>
        <w:t>00</w:t>
      </w:r>
      <w:r>
        <w:rPr>
          <w:rFonts w:hint="default" w:ascii="Times New Roman" w:hAnsi="Times New Roman" w:eastAsia="宋体" w:cs="Times New Roman"/>
          <w:color w:val="auto"/>
          <w:lang w:eastAsia="zh-CN"/>
        </w:rPr>
        <w:t>正式开始。</w:t>
      </w:r>
    </w:p>
    <w:p>
      <w:pPr>
        <w:pStyle w:val="3"/>
        <w:keepNext w:val="0"/>
        <w:keepLines w:val="0"/>
        <w:pageBreakBefore w:val="0"/>
        <w:widowControl w:val="0"/>
        <w:kinsoku/>
        <w:wordWrap/>
        <w:overflowPunct/>
        <w:topLinePunct w:val="0"/>
        <w:autoSpaceDE/>
        <w:autoSpaceDN/>
        <w:bidi w:val="0"/>
        <w:adjustRightInd/>
        <w:snapToGrid/>
        <w:spacing w:line="312" w:lineRule="auto"/>
        <w:ind w:left="850" w:right="11"/>
        <w:textAlignment w:val="auto"/>
        <w:rPr>
          <w:rFonts w:hint="default" w:ascii="Times New Roman" w:hAnsi="Times New Roman" w:cs="Times New Roman"/>
          <w:b/>
          <w:bCs/>
          <w:color w:val="auto"/>
          <w:w w:val="99"/>
          <w:lang w:eastAsia="zh-CN"/>
        </w:rPr>
      </w:pPr>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五</w:t>
      </w:r>
      <w:r>
        <w:rPr>
          <w:rFonts w:hint="eastAsia" w:ascii="Times New Roman" w:hAnsi="Times New Roman" w:cs="Times New Roman"/>
          <w:b/>
          <w:bCs/>
          <w:color w:val="auto"/>
          <w:lang w:eastAsia="zh-CN"/>
        </w:rPr>
        <w:t>）</w:t>
      </w:r>
      <w:r>
        <w:rPr>
          <w:rFonts w:hint="default" w:ascii="Times New Roman" w:hAnsi="Times New Roman" w:cs="Times New Roman"/>
          <w:b/>
          <w:bCs/>
          <w:color w:val="auto"/>
          <w:lang w:eastAsia="zh-CN"/>
        </w:rPr>
        <w:t>体检</w:t>
      </w:r>
    </w:p>
    <w:p>
      <w:pPr>
        <w:pStyle w:val="3"/>
        <w:spacing w:before="143" w:line="321" w:lineRule="auto"/>
        <w:ind w:left="212" w:right="14" w:firstLine="64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考生入学后组织。考生身体健康状况应符合教育部、卫生部、中国残联印发的《普通高等学校招生体检工作指导意见》(教学〔2003〕3号)、《教育部办公厅卫生部办公厅关于普通高等学校招生学生入学身体检查取消乙肝项目检测有关问题的通知》(教学厅〔2010〕2号)要求，并且无传染病。体检不合格者，取消入学资格。具体体检安排另行通知。</w:t>
      </w:r>
    </w:p>
    <w:p>
      <w:pPr>
        <w:pStyle w:val="2"/>
        <w:spacing w:line="393" w:lineRule="exact"/>
        <w:rPr>
          <w:rFonts w:hint="eastAsia" w:ascii="黑体" w:hAnsi="黑体" w:eastAsia="黑体" w:cs="黑体"/>
          <w:b w:val="0"/>
          <w:bCs w:val="0"/>
          <w:color w:val="auto"/>
        </w:rPr>
      </w:pPr>
      <w:r>
        <w:rPr>
          <w:rFonts w:hint="eastAsia" w:ascii="黑体" w:hAnsi="黑体" w:eastAsia="黑体" w:cs="黑体"/>
          <w:color w:val="auto"/>
        </w:rPr>
        <w:t>四、调剂</w:t>
      </w:r>
    </w:p>
    <w:p>
      <w:pPr>
        <w:spacing w:before="143" w:line="321" w:lineRule="auto"/>
        <w:ind w:left="13" w:leftChars="0" w:firstLine="742" w:firstLineChars="231"/>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（一）调剂基本要求</w:t>
      </w:r>
    </w:p>
    <w:p>
      <w:pPr>
        <w:spacing w:before="143" w:line="321" w:lineRule="auto"/>
        <w:ind w:left="13" w:leftChars="0" w:firstLine="683" w:firstLineChars="231"/>
        <w:rPr>
          <w:rFonts w:hint="default" w:ascii="Times New Roman" w:hAnsi="Times New Roman" w:eastAsia="仿宋" w:cs="Times New Roman"/>
          <w:color w:val="auto"/>
          <w:spacing w:val="-12"/>
          <w:sz w:val="32"/>
          <w:szCs w:val="32"/>
          <w:lang w:eastAsia="zh-CN"/>
        </w:rPr>
      </w:pPr>
      <w:r>
        <w:rPr>
          <w:rFonts w:hint="default" w:ascii="Times New Roman" w:hAnsi="Times New Roman" w:eastAsia="仿宋" w:cs="Times New Roman"/>
          <w:color w:val="auto"/>
          <w:spacing w:val="-12"/>
          <w:sz w:val="32"/>
          <w:szCs w:val="32"/>
          <w:lang w:eastAsia="zh-CN"/>
        </w:rPr>
        <w:t>1．符合调入专业的报考条件。</w:t>
      </w:r>
    </w:p>
    <w:p>
      <w:pPr>
        <w:spacing w:before="143" w:line="321" w:lineRule="auto"/>
        <w:ind w:left="13" w:leftChars="0" w:firstLine="683" w:firstLineChars="231"/>
        <w:rPr>
          <w:rFonts w:hint="default" w:ascii="Times New Roman" w:hAnsi="Times New Roman" w:eastAsia="仿宋" w:cs="Times New Roman"/>
          <w:color w:val="auto"/>
          <w:spacing w:val="-12"/>
          <w:sz w:val="32"/>
          <w:szCs w:val="32"/>
          <w:lang w:eastAsia="zh-CN"/>
        </w:rPr>
      </w:pPr>
      <w:r>
        <w:rPr>
          <w:rFonts w:hint="default" w:ascii="Times New Roman" w:hAnsi="Times New Roman" w:eastAsia="仿宋" w:cs="Times New Roman"/>
          <w:color w:val="auto"/>
          <w:spacing w:val="-12"/>
          <w:sz w:val="32"/>
          <w:szCs w:val="32"/>
          <w:lang w:eastAsia="zh-CN"/>
        </w:rPr>
        <w:t>2．初试成绩达到第一志愿报考专业和调入专业的A类考生的国家分数线。</w:t>
      </w:r>
    </w:p>
    <w:p>
      <w:pPr>
        <w:spacing w:before="143" w:line="321" w:lineRule="auto"/>
        <w:ind w:left="13" w:leftChars="0" w:firstLine="683" w:firstLineChars="231"/>
        <w:rPr>
          <w:rFonts w:hint="default" w:ascii="Times New Roman" w:hAnsi="Times New Roman" w:eastAsia="仿宋" w:cs="Times New Roman"/>
          <w:color w:val="auto"/>
          <w:spacing w:val="-12"/>
          <w:sz w:val="32"/>
          <w:szCs w:val="32"/>
          <w:lang w:eastAsia="zh-CN"/>
        </w:rPr>
      </w:pPr>
      <w:r>
        <w:rPr>
          <w:rFonts w:hint="default" w:ascii="Times New Roman" w:hAnsi="Times New Roman" w:eastAsia="仿宋" w:cs="Times New Roman"/>
          <w:color w:val="auto"/>
          <w:spacing w:val="-12"/>
          <w:sz w:val="32"/>
          <w:szCs w:val="32"/>
          <w:lang w:eastAsia="zh-CN"/>
        </w:rPr>
        <w:t>3．调入专业与第一志愿报考专业相同或相近，应在同一学科门类范围内</w:t>
      </w:r>
      <w:r>
        <w:rPr>
          <w:rFonts w:hint="eastAsia" w:ascii="Times New Roman" w:hAnsi="Times New Roman" w:eastAsia="仿宋" w:cs="Times New Roman"/>
          <w:color w:val="auto"/>
          <w:spacing w:val="-12"/>
          <w:sz w:val="32"/>
          <w:szCs w:val="32"/>
          <w:lang w:eastAsia="zh-CN"/>
        </w:rPr>
        <w:t>，</w:t>
      </w:r>
      <w:r>
        <w:rPr>
          <w:rFonts w:hint="eastAsia" w:ascii="Times New Roman" w:hAnsi="Times New Roman" w:eastAsia="仿宋" w:cs="Times New Roman"/>
          <w:color w:val="auto"/>
          <w:spacing w:val="-12"/>
          <w:sz w:val="32"/>
          <w:szCs w:val="32"/>
          <w:lang w:val="en-US" w:eastAsia="zh-CN"/>
        </w:rPr>
        <w:t>专业代码前2位相同</w:t>
      </w:r>
      <w:r>
        <w:rPr>
          <w:rFonts w:hint="default" w:ascii="Times New Roman" w:hAnsi="Times New Roman" w:eastAsia="仿宋" w:cs="Times New Roman"/>
          <w:color w:val="auto"/>
          <w:spacing w:val="-12"/>
          <w:sz w:val="32"/>
          <w:szCs w:val="32"/>
          <w:lang w:eastAsia="zh-CN"/>
        </w:rPr>
        <w:t>。</w:t>
      </w:r>
    </w:p>
    <w:p>
      <w:pPr>
        <w:spacing w:before="143" w:line="321" w:lineRule="auto"/>
        <w:ind w:left="13" w:leftChars="0" w:firstLine="683" w:firstLineChars="231"/>
        <w:rPr>
          <w:rFonts w:hint="default" w:ascii="Times New Roman" w:hAnsi="Times New Roman" w:eastAsia="仿宋" w:cs="Times New Roman"/>
          <w:color w:val="auto"/>
          <w:spacing w:val="-12"/>
          <w:sz w:val="32"/>
          <w:szCs w:val="32"/>
          <w:lang w:eastAsia="zh-CN"/>
        </w:rPr>
      </w:pPr>
      <w:r>
        <w:rPr>
          <w:rFonts w:hint="default" w:ascii="Times New Roman" w:hAnsi="Times New Roman" w:eastAsia="仿宋" w:cs="Times New Roman"/>
          <w:color w:val="auto"/>
          <w:spacing w:val="-12"/>
          <w:sz w:val="32"/>
          <w:szCs w:val="32"/>
          <w:lang w:eastAsia="zh-CN"/>
        </w:rPr>
        <w:t>4．初试科目与调入专业初试科目相同或相近，其中初试全国统一命题科目应与调入专业全国统一命题科目相同（考生初试统考科目涵盖调入专业所有统考科目的，视为相同）。在全国统一命题科目中，英语一、英语二视为相同考试科目。</w:t>
      </w:r>
    </w:p>
    <w:p>
      <w:pPr>
        <w:spacing w:before="143" w:line="321" w:lineRule="auto"/>
        <w:ind w:left="13" w:leftChars="0" w:firstLine="683" w:firstLineChars="231"/>
        <w:rPr>
          <w:rFonts w:hint="default" w:ascii="Times New Roman" w:hAnsi="Times New Roman" w:eastAsia="仿宋" w:cs="Times New Roman"/>
          <w:color w:val="auto"/>
          <w:spacing w:val="-12"/>
          <w:sz w:val="32"/>
          <w:szCs w:val="32"/>
          <w:lang w:eastAsia="zh-CN"/>
        </w:rPr>
      </w:pPr>
      <w:r>
        <w:rPr>
          <w:rFonts w:hint="default" w:ascii="Times New Roman" w:hAnsi="Times New Roman" w:eastAsia="仿宋" w:cs="Times New Roman"/>
          <w:color w:val="auto"/>
          <w:spacing w:val="-12"/>
          <w:sz w:val="32"/>
          <w:szCs w:val="32"/>
          <w:lang w:eastAsia="zh-CN"/>
        </w:rPr>
        <w:t>5. 第一志愿报考同一招生单位同一专业初试科目完全相同的考生择优接收调剂。</w:t>
      </w:r>
    </w:p>
    <w:p>
      <w:pPr>
        <w:spacing w:before="143" w:line="321" w:lineRule="auto"/>
        <w:ind w:left="13" w:leftChars="0" w:firstLine="683" w:firstLineChars="231"/>
        <w:rPr>
          <w:rFonts w:hint="default" w:ascii="Times New Roman" w:hAnsi="Times New Roman" w:eastAsia="仿宋" w:cs="Times New Roman"/>
          <w:color w:val="auto"/>
          <w:spacing w:val="-12"/>
          <w:sz w:val="32"/>
          <w:szCs w:val="32"/>
          <w:lang w:eastAsia="zh-CN"/>
        </w:rPr>
      </w:pPr>
      <w:r>
        <w:rPr>
          <w:rFonts w:hint="default" w:ascii="Times New Roman" w:hAnsi="Times New Roman" w:eastAsia="仿宋" w:cs="Times New Roman"/>
          <w:color w:val="auto"/>
          <w:spacing w:val="-12"/>
          <w:sz w:val="32"/>
          <w:szCs w:val="32"/>
          <w:lang w:eastAsia="zh-CN"/>
        </w:rPr>
        <w:t>6. 全日制考生申请调剂到非全日制专业，应符合非全日制硕士研究生报考条件，为在职定向就业人员。</w:t>
      </w:r>
    </w:p>
    <w:p>
      <w:pPr>
        <w:spacing w:before="143" w:line="321" w:lineRule="auto"/>
        <w:ind w:left="13" w:leftChars="0" w:firstLine="683" w:firstLineChars="231"/>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pacing w:val="-12"/>
          <w:sz w:val="32"/>
          <w:szCs w:val="32"/>
          <w:lang w:eastAsia="zh-CN"/>
        </w:rPr>
        <w:t>7. 不接收第一志愿报考工商管理、公共管理、旅游管理、工程管理、会计、图书情报、审计专业学位硕士的考生调剂；不接收报考“少数民族高层次骨干人才计划”的考生和参加单独考试（含强军计划、援藏计划）的考生调剂；不接收国防生考生调剂。</w:t>
      </w:r>
    </w:p>
    <w:p>
      <w:pPr>
        <w:spacing w:before="143" w:line="321" w:lineRule="auto"/>
        <w:ind w:left="753"/>
        <w:rPr>
          <w:rFonts w:hint="default" w:ascii="Times New Roman" w:hAnsi="Times New Roman" w:eastAsia="仿宋" w:cs="Times New Roman"/>
          <w:b/>
          <w:bCs/>
          <w:color w:val="auto"/>
          <w:w w:val="99"/>
          <w:sz w:val="32"/>
          <w:szCs w:val="32"/>
          <w:lang w:eastAsia="zh-CN"/>
        </w:rPr>
      </w:pPr>
      <w:r>
        <w:rPr>
          <w:rFonts w:hint="default" w:ascii="Times New Roman" w:hAnsi="Times New Roman" w:eastAsia="仿宋" w:cs="Times New Roman"/>
          <w:b/>
          <w:bCs/>
          <w:color w:val="auto"/>
          <w:sz w:val="32"/>
          <w:szCs w:val="32"/>
          <w:lang w:eastAsia="zh-CN"/>
        </w:rPr>
        <w:t>（二）调剂程序</w:t>
      </w:r>
    </w:p>
    <w:p>
      <w:pPr>
        <w:spacing w:before="143" w:line="321" w:lineRule="auto"/>
        <w:ind w:left="0" w:leftChars="0" w:firstLine="592" w:firstLineChars="200"/>
        <w:rPr>
          <w:rFonts w:hint="default" w:ascii="Times New Roman" w:hAnsi="Times New Roman" w:eastAsia="仿宋" w:cs="Times New Roman"/>
          <w:color w:val="auto"/>
          <w:spacing w:val="-4"/>
          <w:w w:val="95"/>
          <w:sz w:val="32"/>
          <w:szCs w:val="32"/>
          <w:lang w:val="en-US" w:eastAsia="zh-CN" w:bidi="ar-SA"/>
        </w:rPr>
      </w:pPr>
      <w:r>
        <w:rPr>
          <w:rFonts w:hint="default" w:ascii="Times New Roman" w:hAnsi="Times New Roman" w:eastAsia="仿宋" w:cs="Times New Roman"/>
          <w:color w:val="auto"/>
          <w:spacing w:val="-4"/>
          <w:w w:val="95"/>
          <w:sz w:val="32"/>
          <w:szCs w:val="32"/>
          <w:lang w:val="en-US" w:eastAsia="zh-CN" w:bidi="ar-SA"/>
        </w:rPr>
        <w:t>1．考生应当在规定时间内在中国研究生招生信息网登陆全国硕士研究生招生考试网上调剂系统填写调剂申请，学校每次开通调剂系统的时间不少于12小时。</w:t>
      </w:r>
    </w:p>
    <w:p>
      <w:pPr>
        <w:pStyle w:val="3"/>
        <w:spacing w:line="321" w:lineRule="auto"/>
        <w:ind w:right="113" w:firstLine="592" w:firstLineChars="200"/>
        <w:jc w:val="both"/>
        <w:rPr>
          <w:rFonts w:hint="default" w:ascii="Times New Roman" w:hAnsi="Times New Roman" w:cs="Times New Roman"/>
          <w:color w:val="auto"/>
          <w:lang w:eastAsia="zh-CN"/>
        </w:rPr>
      </w:pPr>
      <w:r>
        <w:rPr>
          <w:rFonts w:hint="default" w:ascii="Times New Roman" w:hAnsi="Times New Roman" w:cs="Times New Roman"/>
          <w:color w:val="auto"/>
          <w:spacing w:val="-4"/>
          <w:w w:val="95"/>
          <w:lang w:eastAsia="zh-CN"/>
        </w:rPr>
        <w:t>2．学院工作小组按照统一标准筛选符合调剂条件的考生，审核合</w:t>
      </w:r>
      <w:r>
        <w:rPr>
          <w:rFonts w:hint="default" w:ascii="Times New Roman" w:hAnsi="Times New Roman" w:cs="Times New Roman"/>
          <w:color w:val="auto"/>
          <w:lang w:eastAsia="zh-CN"/>
        </w:rPr>
        <w:t>格后通过调剂系统发放复试通知。未接到我校复试通知的考生，可在填写志愿24小时后自行更改调剂志愿。</w:t>
      </w:r>
    </w:p>
    <w:p>
      <w:pPr>
        <w:pStyle w:val="3"/>
        <w:spacing w:line="321" w:lineRule="auto"/>
        <w:ind w:right="114" w:firstLine="616" w:firstLineChars="200"/>
        <w:jc w:val="both"/>
        <w:rPr>
          <w:rFonts w:hint="default" w:ascii="Times New Roman" w:hAnsi="Times New Roman" w:cs="Times New Roman"/>
          <w:color w:val="auto"/>
          <w:lang w:eastAsia="zh-CN"/>
        </w:rPr>
      </w:pPr>
      <w:r>
        <w:rPr>
          <w:rFonts w:hint="default" w:ascii="Times New Roman" w:hAnsi="Times New Roman" w:cs="Times New Roman"/>
          <w:color w:val="auto"/>
          <w:spacing w:val="-6"/>
          <w:lang w:eastAsia="zh-CN"/>
        </w:rPr>
        <w:t>3．考生接受复试通知（超过</w:t>
      </w:r>
      <w:r>
        <w:rPr>
          <w:rFonts w:hint="default" w:ascii="Times New Roman" w:hAnsi="Times New Roman" w:cs="Times New Roman"/>
          <w:color w:val="auto"/>
          <w:lang w:eastAsia="zh-CN"/>
        </w:rPr>
        <w:t>24</w:t>
      </w:r>
      <w:r>
        <w:rPr>
          <w:rFonts w:hint="default" w:ascii="Times New Roman" w:hAnsi="Times New Roman" w:cs="Times New Roman"/>
          <w:color w:val="auto"/>
          <w:spacing w:val="-13"/>
          <w:lang w:eastAsia="zh-CN"/>
        </w:rPr>
        <w:t>小时未接受的视为自动放弃），并</w:t>
      </w:r>
      <w:r>
        <w:rPr>
          <w:rFonts w:hint="default" w:ascii="Times New Roman" w:hAnsi="Times New Roman" w:cs="Times New Roman"/>
          <w:color w:val="auto"/>
          <w:lang w:eastAsia="zh-CN"/>
        </w:rPr>
        <w:t>在规定时间网上缴费、参加学院组织的网络远程复试。</w:t>
      </w:r>
    </w:p>
    <w:p>
      <w:pPr>
        <w:pStyle w:val="3"/>
        <w:spacing w:before="34" w:line="321" w:lineRule="auto"/>
        <w:ind w:right="113" w:firstLine="640"/>
        <w:jc w:val="both"/>
        <w:rPr>
          <w:rFonts w:hint="default" w:ascii="Times New Roman" w:hAnsi="Times New Roman" w:cs="Times New Roman"/>
          <w:color w:val="auto"/>
          <w:lang w:eastAsia="zh-CN"/>
        </w:rPr>
      </w:pPr>
      <w:r>
        <w:rPr>
          <w:rFonts w:hint="default" w:ascii="Times New Roman" w:hAnsi="Times New Roman" w:cs="Times New Roman"/>
          <w:color w:val="auto"/>
          <w:spacing w:val="-4"/>
          <w:w w:val="95"/>
          <w:lang w:eastAsia="zh-CN"/>
        </w:rPr>
        <w:t>4．所有拟录取的调剂考生，由研究生处通过中国研究生招生信息</w:t>
      </w:r>
      <w:r>
        <w:rPr>
          <w:rFonts w:hint="default" w:ascii="Times New Roman" w:hAnsi="Times New Roman" w:cs="Times New Roman"/>
          <w:color w:val="auto"/>
          <w:lang w:eastAsia="zh-CN"/>
        </w:rPr>
        <w:t>网全国硕士研究生招生考试网上调剂系统发送拟录取通知。</w:t>
      </w:r>
    </w:p>
    <w:p>
      <w:pPr>
        <w:pStyle w:val="3"/>
        <w:spacing w:line="321" w:lineRule="auto"/>
        <w:ind w:right="113" w:firstLine="64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5．拟录取的考生必须在我校发放待录取通知的24小时内，在中国研究生招生信息网全国硕士研究生招生考试网上调剂系统</w:t>
      </w:r>
      <w:r>
        <w:rPr>
          <w:rFonts w:hint="default" w:ascii="Times New Roman" w:hAnsi="Times New Roman" w:cs="Times New Roman"/>
          <w:b/>
          <w:bCs/>
          <w:color w:val="auto"/>
          <w:lang w:eastAsia="zh-CN"/>
        </w:rPr>
        <w:t>同意</w:t>
      </w:r>
      <w:r>
        <w:rPr>
          <w:rFonts w:hint="default" w:ascii="Times New Roman" w:hAnsi="Times New Roman" w:cs="Times New Roman"/>
          <w:color w:val="auto"/>
          <w:lang w:eastAsia="zh-CN"/>
        </w:rPr>
        <w:t>待录取，否则视为自动放弃拟录取资格。</w:t>
      </w:r>
    </w:p>
    <w:p>
      <w:pPr>
        <w:pStyle w:val="2"/>
        <w:spacing w:before="31"/>
        <w:rPr>
          <w:rFonts w:hint="eastAsia" w:ascii="黑体" w:hAnsi="黑体" w:eastAsia="黑体" w:cs="黑体"/>
          <w:b w:val="0"/>
          <w:bCs w:val="0"/>
          <w:color w:val="auto"/>
          <w:lang w:eastAsia="zh-CN"/>
        </w:rPr>
      </w:pPr>
      <w:r>
        <w:rPr>
          <w:rFonts w:hint="eastAsia" w:ascii="黑体" w:hAnsi="黑体" w:eastAsia="黑体" w:cs="黑体"/>
          <w:color w:val="auto"/>
          <w:lang w:eastAsia="zh-CN"/>
        </w:rPr>
        <w:t>五、录取</w:t>
      </w:r>
    </w:p>
    <w:p>
      <w:pPr>
        <w:spacing w:before="143" w:line="321" w:lineRule="auto"/>
        <w:ind w:left="753"/>
        <w:rPr>
          <w:rFonts w:hint="default" w:ascii="Times New Roman" w:hAnsi="Times New Roman" w:eastAsia="仿宋" w:cs="Times New Roman"/>
          <w:b/>
          <w:bCs/>
          <w:color w:val="auto"/>
          <w:w w:val="99"/>
          <w:sz w:val="32"/>
          <w:szCs w:val="32"/>
          <w:lang w:eastAsia="zh-CN"/>
        </w:rPr>
      </w:pPr>
      <w:r>
        <w:rPr>
          <w:rFonts w:hint="default" w:ascii="Times New Roman" w:hAnsi="Times New Roman" w:eastAsia="仿宋" w:cs="Times New Roman"/>
          <w:b/>
          <w:bCs/>
          <w:color w:val="auto"/>
          <w:sz w:val="32"/>
          <w:szCs w:val="32"/>
          <w:lang w:eastAsia="zh-CN"/>
        </w:rPr>
        <w:t>（一）总成绩计算方式</w:t>
      </w:r>
    </w:p>
    <w:p>
      <w:pPr>
        <w:spacing w:before="143" w:line="321" w:lineRule="auto"/>
        <w:ind w:left="753"/>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考生总成绩＝初试总分/5×70%+综合测试成绩×30%。</w:t>
      </w:r>
    </w:p>
    <w:p>
      <w:pPr>
        <w:spacing w:before="31" w:line="321" w:lineRule="auto"/>
        <w:ind w:left="753"/>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（二）总成绩排名方式</w:t>
      </w:r>
    </w:p>
    <w:p>
      <w:pPr>
        <w:keepNext w:val="0"/>
        <w:keepLines w:val="0"/>
        <w:pageBreakBefore w:val="0"/>
        <w:widowControl w:val="0"/>
        <w:kinsoku/>
        <w:wordWrap/>
        <w:overflowPunct/>
        <w:topLinePunct w:val="0"/>
        <w:autoSpaceDE/>
        <w:autoSpaceDN/>
        <w:bidi w:val="0"/>
        <w:adjustRightInd/>
        <w:snapToGrid/>
        <w:spacing w:line="312" w:lineRule="auto"/>
        <w:ind w:left="753"/>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pacing w:val="-4"/>
          <w:w w:val="95"/>
          <w:sz w:val="32"/>
          <w:szCs w:val="32"/>
          <w:lang w:eastAsia="zh-CN"/>
        </w:rPr>
        <w:t>1．全日制考生和非全日制考生按复试专业（领域）总成绩分别排</w:t>
      </w:r>
      <w:r>
        <w:rPr>
          <w:rFonts w:hint="default" w:ascii="Times New Roman" w:hAnsi="Times New Roman" w:eastAsia="仿宋" w:cs="Times New Roman"/>
          <w:color w:val="auto"/>
          <w:sz w:val="32"/>
          <w:szCs w:val="32"/>
          <w:lang w:eastAsia="zh-CN"/>
        </w:rPr>
        <w:t>名。</w:t>
      </w:r>
    </w:p>
    <w:p>
      <w:pPr>
        <w:pStyle w:val="3"/>
        <w:keepNext w:val="0"/>
        <w:keepLines w:val="0"/>
        <w:pageBreakBefore w:val="0"/>
        <w:widowControl w:val="0"/>
        <w:kinsoku/>
        <w:wordWrap/>
        <w:overflowPunct/>
        <w:topLinePunct w:val="0"/>
        <w:autoSpaceDE/>
        <w:autoSpaceDN/>
        <w:bidi w:val="0"/>
        <w:adjustRightInd/>
        <w:snapToGrid/>
        <w:spacing w:before="0" w:line="312" w:lineRule="auto"/>
        <w:ind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2．按各批次对复试合格的考生分别进行总成绩排名。</w:t>
      </w:r>
    </w:p>
    <w:p>
      <w:pPr>
        <w:pStyle w:val="3"/>
        <w:keepNext w:val="0"/>
        <w:keepLines w:val="0"/>
        <w:pageBreakBefore w:val="0"/>
        <w:widowControl w:val="0"/>
        <w:kinsoku/>
        <w:wordWrap/>
        <w:overflowPunct/>
        <w:topLinePunct w:val="0"/>
        <w:autoSpaceDE/>
        <w:autoSpaceDN/>
        <w:bidi w:val="0"/>
        <w:adjustRightInd/>
        <w:snapToGrid/>
        <w:spacing w:before="0" w:line="312" w:lineRule="auto"/>
        <w:ind w:firstLine="64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3.考生总成绩相同的考生，按初试总分排名；初试总分相同按</w:t>
      </w:r>
      <w:r>
        <w:rPr>
          <w:rFonts w:hint="eastAsia" w:ascii="Times New Roman" w:hAnsi="Times New Roman" w:cs="Times New Roman"/>
          <w:color w:val="auto"/>
          <w:lang w:val="en-US" w:eastAsia="zh-CN"/>
        </w:rPr>
        <w:t>初</w:t>
      </w:r>
      <w:r>
        <w:rPr>
          <w:rFonts w:hint="default" w:ascii="Times New Roman" w:hAnsi="Times New Roman" w:cs="Times New Roman"/>
          <w:color w:val="auto"/>
          <w:lang w:eastAsia="zh-CN"/>
        </w:rPr>
        <w:t>试英语科目成绩排名；初试总分和初试英语科目成绩均相同的按初试思想政治理论科目成绩排名。</w:t>
      </w:r>
    </w:p>
    <w:p>
      <w:pPr>
        <w:pStyle w:val="2"/>
        <w:spacing w:before="31"/>
        <w:rPr>
          <w:rFonts w:hint="default" w:ascii="Times New Roman" w:hAnsi="Times New Roman" w:cs="Times New Roman"/>
          <w:b w:val="0"/>
          <w:bCs w:val="0"/>
          <w:color w:val="auto"/>
          <w:lang w:eastAsia="zh-CN"/>
        </w:rPr>
      </w:pPr>
      <w:r>
        <w:rPr>
          <w:rFonts w:hint="default" w:ascii="Times New Roman" w:hAnsi="Times New Roman" w:cs="Times New Roman"/>
          <w:color w:val="auto"/>
          <w:lang w:eastAsia="zh-CN"/>
        </w:rPr>
        <w:t>（三）拟录取名单确定方式</w:t>
      </w:r>
    </w:p>
    <w:p>
      <w:pPr>
        <w:pStyle w:val="3"/>
        <w:spacing w:before="143"/>
        <w:ind w:left="753"/>
        <w:rPr>
          <w:rFonts w:hint="default" w:ascii="Times New Roman" w:hAnsi="Times New Roman" w:cs="Times New Roman"/>
          <w:color w:val="auto"/>
          <w:lang w:eastAsia="zh-CN"/>
        </w:rPr>
      </w:pPr>
      <w:r>
        <w:rPr>
          <w:rFonts w:hint="default" w:ascii="Times New Roman" w:hAnsi="Times New Roman" w:cs="Times New Roman"/>
          <w:color w:val="auto"/>
          <w:lang w:eastAsia="zh-CN"/>
        </w:rPr>
        <w:t>1.按批次对复试合格的考生进行总成绩由高到低依次录取。</w:t>
      </w:r>
    </w:p>
    <w:p>
      <w:pPr>
        <w:pStyle w:val="3"/>
        <w:spacing w:before="140" w:line="321" w:lineRule="auto"/>
        <w:ind w:right="233" w:firstLine="64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2.已接受我校拟录取通知的全日制考生，符合非全日制报考条件的，可申请调剂到非全日制相同专业，但必须签订《定向就业培养协</w:t>
      </w:r>
      <w:r>
        <w:rPr>
          <w:rFonts w:hint="default" w:ascii="Times New Roman" w:hAnsi="Times New Roman" w:cs="Times New Roman"/>
          <w:color w:val="auto"/>
          <w:spacing w:val="-6"/>
          <w:lang w:eastAsia="zh-CN"/>
        </w:rPr>
        <w:t>议书》，其他已接受拟录取考生不再接收其校内调剂申请。</w:t>
      </w:r>
    </w:p>
    <w:p>
      <w:pPr>
        <w:spacing w:before="31" w:line="321" w:lineRule="auto"/>
        <w:ind w:left="753"/>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（四）录取类别</w:t>
      </w:r>
    </w:p>
    <w:p>
      <w:pPr>
        <w:spacing w:before="31" w:line="321" w:lineRule="auto"/>
        <w:ind w:left="753"/>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1.非定向考生：档案转入我校的考生均录取为非定向研究生毕业</w:t>
      </w:r>
    </w:p>
    <w:p>
      <w:pPr>
        <w:pStyle w:val="3"/>
        <w:spacing w:before="34" w:line="321" w:lineRule="auto"/>
        <w:ind w:left="753" w:hanging="641"/>
        <w:rPr>
          <w:rFonts w:hint="default" w:ascii="Times New Roman" w:hAnsi="Times New Roman" w:cs="Times New Roman"/>
          <w:color w:val="auto"/>
          <w:lang w:eastAsia="zh-CN"/>
        </w:rPr>
      </w:pPr>
      <w:r>
        <w:rPr>
          <w:rFonts w:hint="default" w:ascii="Times New Roman" w:hAnsi="Times New Roman" w:cs="Times New Roman"/>
          <w:color w:val="auto"/>
          <w:lang w:eastAsia="zh-CN"/>
        </w:rPr>
        <w:t>后与用人单位双向选择就业。</w:t>
      </w:r>
    </w:p>
    <w:p>
      <w:pPr>
        <w:spacing w:before="31" w:line="321" w:lineRule="auto"/>
        <w:ind w:left="0" w:leftChars="0"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2.定向考生：档案不转入我校的考生均录取为定向研究生，录取前考生本人、工作单位与我校签订《定向就业培养协议书》，毕业后按协议回定向就业单位工作。</w:t>
      </w:r>
    </w:p>
    <w:p>
      <w:pPr>
        <w:spacing w:before="31" w:line="321" w:lineRule="auto"/>
        <w:ind w:left="753"/>
        <w:rPr>
          <w:rFonts w:hint="default" w:ascii="Times New Roman" w:hAnsi="Times New Roman" w:eastAsia="仿宋" w:cs="Times New Roman"/>
          <w:b/>
          <w:bCs/>
          <w:color w:val="auto"/>
          <w:w w:val="99"/>
          <w:sz w:val="32"/>
          <w:szCs w:val="32"/>
          <w:lang w:eastAsia="zh-CN"/>
        </w:rPr>
      </w:pPr>
      <w:r>
        <w:rPr>
          <w:rFonts w:hint="default" w:ascii="Times New Roman" w:hAnsi="Times New Roman" w:eastAsia="仿宋" w:cs="Times New Roman"/>
          <w:b/>
          <w:bCs/>
          <w:color w:val="auto"/>
          <w:sz w:val="32"/>
          <w:szCs w:val="32"/>
          <w:lang w:eastAsia="zh-CN"/>
        </w:rPr>
        <w:t>（五）严肃考风考纪</w:t>
      </w:r>
    </w:p>
    <w:p>
      <w:pPr>
        <w:spacing w:before="31" w:line="321" w:lineRule="auto"/>
        <w:ind w:left="753"/>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严格按照相关规定，严肃查处违规违纪行为。对在复试过程中有</w:t>
      </w:r>
    </w:p>
    <w:p>
      <w:pPr>
        <w:pStyle w:val="3"/>
        <w:spacing w:before="34" w:line="321" w:lineRule="auto"/>
        <w:rPr>
          <w:rFonts w:hint="default" w:ascii="Times New Roman" w:hAnsi="Times New Roman" w:cs="Times New Roman"/>
          <w:color w:val="auto"/>
          <w:lang w:eastAsia="zh-CN"/>
        </w:rPr>
      </w:pPr>
      <w:r>
        <w:rPr>
          <w:rFonts w:hint="default" w:ascii="Times New Roman" w:hAnsi="Times New Roman" w:cs="Times New Roman"/>
          <w:color w:val="auto"/>
          <w:lang w:eastAsia="zh-CN"/>
        </w:rPr>
        <w:t>违规行为的考生，一经查实，即按照有关规定严肃处理，取消复试和</w:t>
      </w:r>
      <w:r>
        <w:rPr>
          <w:rFonts w:hint="default" w:ascii="Times New Roman" w:hAnsi="Times New Roman" w:cs="Times New Roman"/>
          <w:color w:val="auto"/>
          <w:spacing w:val="-6"/>
          <w:lang w:eastAsia="zh-CN"/>
        </w:rPr>
        <w:t>录取资格，记入《考生考试诚信档案》。研究生新生入学后</w:t>
      </w:r>
      <w:r>
        <w:rPr>
          <w:rFonts w:hint="default" w:ascii="Times New Roman" w:hAnsi="Times New Roman" w:cs="Times New Roman"/>
          <w:color w:val="auto"/>
          <w:lang w:eastAsia="zh-CN"/>
        </w:rPr>
        <w:t>3个月内，学校将对所有考生进行全面复查，复查不合格的，取消学籍；情节严重的，移交有关部门调查处理。</w:t>
      </w:r>
    </w:p>
    <w:p>
      <w:pPr>
        <w:spacing w:before="31" w:line="321" w:lineRule="auto"/>
        <w:ind w:left="753"/>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六、相关工作制度</w:t>
      </w:r>
    </w:p>
    <w:p>
      <w:pPr>
        <w:keepNext w:val="0"/>
        <w:keepLines w:val="0"/>
        <w:pageBreakBefore w:val="0"/>
        <w:widowControl w:val="0"/>
        <w:kinsoku/>
        <w:wordWrap/>
        <w:overflowPunct/>
        <w:topLinePunct w:val="0"/>
        <w:autoSpaceDE/>
        <w:autoSpaceDN/>
        <w:bidi w:val="0"/>
        <w:adjustRightInd/>
        <w:snapToGrid/>
        <w:spacing w:before="31" w:line="312" w:lineRule="auto"/>
        <w:ind w:left="13" w:leftChars="0" w:firstLine="742" w:firstLineChars="231"/>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（一）责任追究制度</w:t>
      </w:r>
    </w:p>
    <w:p>
      <w:pPr>
        <w:keepNext w:val="0"/>
        <w:keepLines w:val="0"/>
        <w:pageBreakBefore w:val="0"/>
        <w:widowControl w:val="0"/>
        <w:kinsoku/>
        <w:wordWrap/>
        <w:overflowPunct/>
        <w:topLinePunct w:val="0"/>
        <w:autoSpaceDE/>
        <w:autoSpaceDN/>
        <w:bidi w:val="0"/>
        <w:adjustRightInd/>
        <w:snapToGrid/>
        <w:spacing w:before="31" w:line="312" w:lineRule="auto"/>
        <w:ind w:left="13" w:leftChars="0" w:firstLine="739" w:firstLineChars="231"/>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研究生复试录取工作中，凡违反国家有关法律法规和招生管理规定行为的工作人员，一律按《普通高等学校招生违规行为处理暂行办法》(教育部令第36号)严肃处理，并追究相关部门和人员的责任，造成严重后果和恶劣影响的，将按规定对相关责任人进行严肃处理，对涉嫌构成犯罪的，及时移送司法机关处理。</w:t>
      </w:r>
    </w:p>
    <w:p>
      <w:pPr>
        <w:keepNext w:val="0"/>
        <w:keepLines w:val="0"/>
        <w:pageBreakBefore w:val="0"/>
        <w:widowControl w:val="0"/>
        <w:kinsoku/>
        <w:wordWrap/>
        <w:overflowPunct/>
        <w:topLinePunct w:val="0"/>
        <w:autoSpaceDE/>
        <w:autoSpaceDN/>
        <w:bidi w:val="0"/>
        <w:adjustRightInd/>
        <w:snapToGrid/>
        <w:spacing w:before="31" w:line="312" w:lineRule="auto"/>
        <w:ind w:left="13" w:leftChars="0" w:firstLine="742" w:firstLineChars="231"/>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（二）监督制度</w:t>
      </w:r>
    </w:p>
    <w:p>
      <w:pPr>
        <w:keepNext w:val="0"/>
        <w:keepLines w:val="0"/>
        <w:pageBreakBefore w:val="0"/>
        <w:widowControl w:val="0"/>
        <w:kinsoku/>
        <w:wordWrap/>
        <w:overflowPunct/>
        <w:topLinePunct w:val="0"/>
        <w:autoSpaceDE/>
        <w:autoSpaceDN/>
        <w:bidi w:val="0"/>
        <w:adjustRightInd/>
        <w:snapToGrid/>
        <w:spacing w:before="31" w:line="312" w:lineRule="auto"/>
        <w:ind w:left="13" w:leftChars="0" w:firstLine="683" w:firstLineChars="231"/>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pacing w:val="-4"/>
          <w:w w:val="95"/>
          <w:sz w:val="32"/>
          <w:szCs w:val="32"/>
          <w:lang w:eastAsia="zh-CN"/>
        </w:rPr>
        <w:t>学</w:t>
      </w:r>
      <w:r>
        <w:rPr>
          <w:rFonts w:hint="default" w:ascii="Times New Roman" w:hAnsi="Times New Roman" w:eastAsia="仿宋" w:cs="Times New Roman"/>
          <w:color w:val="auto"/>
          <w:sz w:val="32"/>
          <w:szCs w:val="32"/>
          <w:lang w:eastAsia="zh-CN"/>
        </w:rPr>
        <w:t>院设立专职监督员，对整个研究生复试录取工作进行监督检查。同时，我院畅通申诉举报渠道，凡是发现在复试录取工作中弄虚作假、违反招生录取规定和纪律的，均可向我院研究生招生办公室举报，举报电话为0532-58957550。</w:t>
      </w:r>
    </w:p>
    <w:p>
      <w:pPr>
        <w:keepNext w:val="0"/>
        <w:keepLines w:val="0"/>
        <w:pageBreakBefore w:val="0"/>
        <w:widowControl w:val="0"/>
        <w:kinsoku/>
        <w:wordWrap/>
        <w:overflowPunct/>
        <w:topLinePunct w:val="0"/>
        <w:autoSpaceDE/>
        <w:autoSpaceDN/>
        <w:bidi w:val="0"/>
        <w:adjustRightInd/>
        <w:snapToGrid/>
        <w:spacing w:before="34" w:line="312" w:lineRule="auto"/>
        <w:ind w:left="753" w:right="109"/>
        <w:textAlignment w:val="auto"/>
        <w:rPr>
          <w:rFonts w:hint="default" w:ascii="Times New Roman" w:hAnsi="Times New Roman" w:eastAsia="仿宋" w:cs="Times New Roman"/>
          <w:b/>
          <w:bCs/>
          <w:color w:val="auto"/>
          <w:w w:val="99"/>
          <w:sz w:val="32"/>
          <w:szCs w:val="32"/>
          <w:lang w:eastAsia="zh-CN"/>
        </w:rPr>
      </w:pPr>
      <w:r>
        <w:rPr>
          <w:rFonts w:hint="default" w:ascii="Times New Roman" w:hAnsi="Times New Roman" w:eastAsia="仿宋" w:cs="Times New Roman"/>
          <w:b/>
          <w:bCs/>
          <w:color w:val="auto"/>
          <w:sz w:val="32"/>
          <w:szCs w:val="32"/>
          <w:lang w:eastAsia="zh-CN"/>
        </w:rPr>
        <w:t>（三）信息公开制度</w:t>
      </w:r>
    </w:p>
    <w:p>
      <w:pPr>
        <w:keepNext w:val="0"/>
        <w:keepLines w:val="0"/>
        <w:pageBreakBefore w:val="0"/>
        <w:widowControl w:val="0"/>
        <w:kinsoku/>
        <w:wordWrap/>
        <w:overflowPunct/>
        <w:topLinePunct w:val="0"/>
        <w:autoSpaceDE/>
        <w:autoSpaceDN/>
        <w:bidi w:val="0"/>
        <w:adjustRightInd/>
        <w:snapToGrid/>
        <w:spacing w:before="31" w:line="312" w:lineRule="auto"/>
        <w:ind w:left="13" w:leftChars="0" w:firstLine="739" w:firstLineChars="231"/>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在动物医学院和研究生处网站专栏，公布复试录取方案和实施细则、复试和拟录取名单等。</w:t>
      </w:r>
    </w:p>
    <w:p>
      <w:pPr>
        <w:keepNext w:val="0"/>
        <w:keepLines w:val="0"/>
        <w:pageBreakBefore w:val="0"/>
        <w:widowControl w:val="0"/>
        <w:kinsoku/>
        <w:wordWrap/>
        <w:overflowPunct/>
        <w:topLinePunct w:val="0"/>
        <w:autoSpaceDE/>
        <w:autoSpaceDN/>
        <w:bidi w:val="0"/>
        <w:adjustRightInd/>
        <w:snapToGrid/>
        <w:spacing w:before="143" w:line="312" w:lineRule="auto"/>
        <w:ind w:left="753" w:right="109"/>
        <w:textAlignment w:val="auto"/>
        <w:rPr>
          <w:rFonts w:hint="default" w:ascii="Times New Roman" w:hAnsi="Times New Roman" w:eastAsia="仿宋" w:cs="Times New Roman"/>
          <w:b/>
          <w:bCs/>
          <w:color w:val="auto"/>
          <w:w w:val="99"/>
          <w:sz w:val="32"/>
          <w:szCs w:val="32"/>
          <w:lang w:eastAsia="zh-CN"/>
        </w:rPr>
      </w:pPr>
      <w:r>
        <w:rPr>
          <w:rFonts w:hint="default" w:ascii="Times New Roman" w:hAnsi="Times New Roman" w:eastAsia="仿宋" w:cs="Times New Roman"/>
          <w:b/>
          <w:bCs/>
          <w:color w:val="auto"/>
          <w:sz w:val="32"/>
          <w:szCs w:val="32"/>
          <w:lang w:eastAsia="zh-CN"/>
        </w:rPr>
        <w:t>（四）复议制度</w:t>
      </w:r>
    </w:p>
    <w:p>
      <w:pPr>
        <w:keepNext w:val="0"/>
        <w:keepLines w:val="0"/>
        <w:pageBreakBefore w:val="0"/>
        <w:widowControl w:val="0"/>
        <w:kinsoku/>
        <w:wordWrap/>
        <w:overflowPunct/>
        <w:topLinePunct w:val="0"/>
        <w:autoSpaceDE/>
        <w:autoSpaceDN/>
        <w:bidi w:val="0"/>
        <w:adjustRightInd/>
        <w:snapToGrid/>
        <w:spacing w:before="31" w:line="312" w:lineRule="auto"/>
        <w:ind w:left="13" w:leftChars="0" w:firstLine="739" w:firstLineChars="231"/>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考生如果对复试录取结果有异议，可向学院工作小组投诉和申诉</w:t>
      </w:r>
    </w:p>
    <w:p>
      <w:pPr>
        <w:keepNext w:val="0"/>
        <w:keepLines w:val="0"/>
        <w:pageBreakBefore w:val="0"/>
        <w:widowControl w:val="0"/>
        <w:kinsoku/>
        <w:wordWrap/>
        <w:overflowPunct/>
        <w:topLinePunct w:val="0"/>
        <w:autoSpaceDE/>
        <w:autoSpaceDN/>
        <w:bidi w:val="0"/>
        <w:adjustRightInd/>
        <w:snapToGrid/>
        <w:spacing w:before="31" w:line="312" w:lineRule="auto"/>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（投诉电话0532-589577550）。学院工作小组进行核查、处理。</w:t>
      </w:r>
    </w:p>
    <w:p>
      <w:pPr>
        <w:spacing w:before="31" w:line="321" w:lineRule="auto"/>
        <w:ind w:left="753" w:right="109" w:hanging="641"/>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七、联合培养硕士研究生专项招生计划复试录取方案</w:t>
      </w:r>
    </w:p>
    <w:p>
      <w:pPr>
        <w:pStyle w:val="3"/>
        <w:keepNext w:val="0"/>
        <w:keepLines w:val="0"/>
        <w:pageBreakBefore w:val="0"/>
        <w:widowControl w:val="0"/>
        <w:kinsoku/>
        <w:wordWrap/>
        <w:overflowPunct/>
        <w:topLinePunct w:val="0"/>
        <w:autoSpaceDE/>
        <w:autoSpaceDN/>
        <w:bidi w:val="0"/>
        <w:adjustRightInd/>
        <w:snapToGrid/>
        <w:spacing w:line="312" w:lineRule="auto"/>
        <w:ind w:left="113" w:right="108"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1.</w:t>
      </w:r>
      <w:r>
        <w:rPr>
          <w:rFonts w:hint="default" w:ascii="Times New Roman" w:hAnsi="Times New Roman" w:cs="Times New Roman"/>
          <w:color w:val="auto"/>
          <w:spacing w:val="7"/>
          <w:lang w:eastAsia="zh-CN"/>
        </w:rPr>
        <w:t>我院与中国兽医药品检查监察所和中国动物卫生与流行病学</w:t>
      </w:r>
      <w:r>
        <w:rPr>
          <w:rFonts w:hint="default" w:ascii="Times New Roman" w:hAnsi="Times New Roman" w:cs="Times New Roman"/>
          <w:color w:val="auto"/>
          <w:lang w:eastAsia="zh-CN"/>
        </w:rPr>
        <w:t>中心联合培养招生兽医硕士专业学位，招生计划分别为2人和2人。</w:t>
      </w:r>
    </w:p>
    <w:p>
      <w:pPr>
        <w:pStyle w:val="3"/>
        <w:keepNext w:val="0"/>
        <w:keepLines w:val="0"/>
        <w:pageBreakBefore w:val="0"/>
        <w:widowControl w:val="0"/>
        <w:kinsoku/>
        <w:wordWrap/>
        <w:overflowPunct/>
        <w:topLinePunct w:val="0"/>
        <w:autoSpaceDE/>
        <w:autoSpaceDN/>
        <w:bidi w:val="0"/>
        <w:adjustRightInd/>
        <w:snapToGrid/>
        <w:spacing w:before="143" w:line="312" w:lineRule="auto"/>
        <w:ind w:left="113" w:right="108"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2.</w:t>
      </w:r>
      <w:r>
        <w:rPr>
          <w:rFonts w:hint="default" w:ascii="Times New Roman" w:hAnsi="Times New Roman" w:cs="Times New Roman"/>
          <w:color w:val="auto"/>
          <w:spacing w:val="7"/>
          <w:lang w:eastAsia="zh-CN"/>
        </w:rPr>
        <w:t>联合培养硕士研究生专项招生计划招收的研究生除课程学习</w:t>
      </w:r>
      <w:r>
        <w:rPr>
          <w:rFonts w:hint="default" w:ascii="Times New Roman" w:hAnsi="Times New Roman" w:cs="Times New Roman"/>
          <w:color w:val="auto"/>
          <w:spacing w:val="-4"/>
          <w:lang w:eastAsia="zh-CN"/>
        </w:rPr>
        <w:t>外，在中国兽医药品监察所和中国动物卫生与流行病学中心进行培养。</w:t>
      </w:r>
      <w:r>
        <w:rPr>
          <w:rFonts w:hint="default" w:ascii="Times New Roman" w:hAnsi="Times New Roman" w:cs="Times New Roman"/>
          <w:color w:val="auto"/>
          <w:lang w:eastAsia="zh-CN"/>
        </w:rPr>
        <w:t>培养要求要遵循联合培养规定、学校和学院的相关文件规定。</w:t>
      </w:r>
    </w:p>
    <w:p>
      <w:pPr>
        <w:pStyle w:val="3"/>
        <w:keepNext w:val="0"/>
        <w:keepLines w:val="0"/>
        <w:pageBreakBefore w:val="0"/>
        <w:widowControl w:val="0"/>
        <w:kinsoku/>
        <w:wordWrap/>
        <w:overflowPunct/>
        <w:topLinePunct w:val="0"/>
        <w:autoSpaceDE/>
        <w:autoSpaceDN/>
        <w:bidi w:val="0"/>
        <w:adjustRightInd/>
        <w:snapToGrid/>
        <w:spacing w:before="34" w:line="312" w:lineRule="auto"/>
        <w:ind w:left="113" w:right="108" w:firstLine="640" w:firstLineChars="200"/>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3.</w:t>
      </w:r>
      <w:r>
        <w:rPr>
          <w:rFonts w:hint="default" w:ascii="Times New Roman" w:hAnsi="Times New Roman" w:cs="Times New Roman"/>
          <w:color w:val="auto"/>
          <w:spacing w:val="7"/>
          <w:lang w:eastAsia="zh-CN"/>
        </w:rPr>
        <w:t>联合培养硕士研究生专项招生计划复试录取方案按照我院的</w:t>
      </w:r>
      <w:r>
        <w:rPr>
          <w:rFonts w:hint="default" w:ascii="Times New Roman" w:hAnsi="Times New Roman" w:cs="Times New Roman"/>
          <w:color w:val="auto"/>
          <w:lang w:eastAsia="zh-CN"/>
        </w:rPr>
        <w:t>复试录取细则执行，由学院统一组织实施。</w:t>
      </w:r>
    </w:p>
    <w:p>
      <w:pPr>
        <w:pStyle w:val="3"/>
        <w:spacing w:before="34" w:line="321" w:lineRule="auto"/>
        <w:ind w:right="109" w:firstLine="640"/>
        <w:jc w:val="right"/>
        <w:rPr>
          <w:rFonts w:hint="default" w:ascii="Times New Roman" w:hAnsi="Times New Roman" w:cs="Times New Roman"/>
          <w:color w:val="auto"/>
          <w:lang w:eastAsia="zh-CN"/>
        </w:rPr>
      </w:pPr>
      <w:r>
        <w:rPr>
          <w:rFonts w:hint="default" w:ascii="Times New Roman" w:hAnsi="Times New Roman" w:cs="Times New Roman"/>
          <w:color w:val="auto"/>
          <w:lang w:eastAsia="zh-CN"/>
        </w:rPr>
        <w:t>动物医学院</w:t>
      </w:r>
    </w:p>
    <w:p>
      <w:pPr>
        <w:pStyle w:val="3"/>
        <w:spacing w:before="34" w:line="321" w:lineRule="auto"/>
        <w:ind w:right="109" w:firstLine="640"/>
        <w:jc w:val="right"/>
        <w:rPr>
          <w:rFonts w:hint="default" w:ascii="Times New Roman" w:hAnsi="Times New Roman" w:cs="Times New Roman"/>
          <w:color w:val="auto"/>
          <w:lang w:eastAsia="zh-CN"/>
        </w:rPr>
      </w:pPr>
      <w:r>
        <w:rPr>
          <w:rFonts w:hint="default" w:ascii="Times New Roman" w:hAnsi="Times New Roman" w:cs="Times New Roman"/>
          <w:color w:val="auto"/>
          <w:lang w:eastAsia="zh-CN"/>
        </w:rPr>
        <w:t>2021年3月24日</w:t>
      </w:r>
    </w:p>
    <w:p>
      <w:pPr>
        <w:spacing w:before="4"/>
        <w:rPr>
          <w:rFonts w:hint="default" w:ascii="Times New Roman" w:hAnsi="Times New Roman" w:eastAsia="仿宋" w:cs="Times New Roman"/>
          <w:color w:val="auto"/>
          <w:sz w:val="45"/>
          <w:szCs w:val="45"/>
          <w:lang w:eastAsia="zh-CN"/>
        </w:rPr>
      </w:pPr>
    </w:p>
    <w:p>
      <w:pPr>
        <w:spacing w:line="321" w:lineRule="auto"/>
        <w:jc w:val="right"/>
        <w:rPr>
          <w:rFonts w:hint="default" w:ascii="Times New Roman" w:hAnsi="Times New Roman" w:cs="Times New Roman"/>
          <w:color w:val="auto"/>
          <w:lang w:eastAsia="zh-CN"/>
        </w:rPr>
        <w:sectPr>
          <w:pgSz w:w="11910" w:h="16840"/>
          <w:pgMar w:top="1440" w:right="1080" w:bottom="1440" w:left="1080" w:header="720" w:footer="720" w:gutter="0"/>
          <w:cols w:space="720" w:num="1"/>
        </w:sectPr>
      </w:pPr>
    </w:p>
    <w:p>
      <w:pPr>
        <w:pStyle w:val="2"/>
        <w:spacing w:line="394" w:lineRule="exact"/>
        <w:ind w:left="132"/>
        <w:rPr>
          <w:rFonts w:hint="default" w:ascii="Times New Roman" w:hAnsi="Times New Roman" w:cs="Times New Roman"/>
          <w:b w:val="0"/>
          <w:bCs w:val="0"/>
          <w:color w:val="auto"/>
          <w:sz w:val="28"/>
          <w:szCs w:val="28"/>
          <w:lang w:eastAsia="zh-CN"/>
        </w:rPr>
      </w:pPr>
      <w:r>
        <w:rPr>
          <w:rFonts w:hint="default" w:ascii="Times New Roman" w:hAnsi="Times New Roman" w:cs="Times New Roman"/>
          <w:color w:val="auto"/>
          <w:sz w:val="28"/>
          <w:szCs w:val="28"/>
          <w:lang w:eastAsia="zh-CN"/>
        </w:rPr>
        <w:t>附件</w:t>
      </w:r>
    </w:p>
    <w:p>
      <w:pPr>
        <w:keepNext w:val="0"/>
        <w:keepLines w:val="0"/>
        <w:pageBreakBefore w:val="0"/>
        <w:widowControl w:val="0"/>
        <w:kinsoku/>
        <w:wordWrap/>
        <w:overflowPunct/>
        <w:topLinePunct w:val="0"/>
        <w:autoSpaceDE/>
        <w:autoSpaceDN/>
        <w:bidi w:val="0"/>
        <w:adjustRightInd/>
        <w:snapToGrid/>
        <w:ind w:left="3351"/>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第一批次复试考生名单</w:t>
      </w:r>
    </w:p>
    <w:tbl>
      <w:tblPr>
        <w:tblStyle w:val="4"/>
        <w:tblW w:w="8647" w:type="dxa"/>
        <w:tblInd w:w="817" w:type="dxa"/>
        <w:tblLayout w:type="autofit"/>
        <w:tblCellMar>
          <w:top w:w="0" w:type="dxa"/>
          <w:left w:w="108" w:type="dxa"/>
          <w:bottom w:w="0" w:type="dxa"/>
          <w:right w:w="108" w:type="dxa"/>
        </w:tblCellMar>
      </w:tblPr>
      <w:tblGrid>
        <w:gridCol w:w="851"/>
        <w:gridCol w:w="975"/>
        <w:gridCol w:w="1576"/>
        <w:gridCol w:w="1701"/>
        <w:gridCol w:w="1559"/>
        <w:gridCol w:w="1985"/>
      </w:tblGrid>
      <w:tr>
        <w:tblPrEx>
          <w:tblCellMar>
            <w:top w:w="0" w:type="dxa"/>
            <w:left w:w="108" w:type="dxa"/>
            <w:bottom w:w="0" w:type="dxa"/>
            <w:right w:w="108" w:type="dxa"/>
          </w:tblCellMar>
        </w:tblPrEx>
        <w:trPr>
          <w:trHeight w:val="346"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序号</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姓名</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初试成绩</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专业（领域）</w:t>
            </w:r>
          </w:p>
        </w:tc>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研究生方向</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
                <w:bCs/>
                <w:color w:val="auto"/>
                <w:sz w:val="24"/>
                <w:szCs w:val="24"/>
                <w:lang w:eastAsia="zh-CN"/>
              </w:rPr>
              <w:t>学位类别</w:t>
            </w:r>
          </w:p>
        </w:tc>
      </w:tr>
      <w:tr>
        <w:tblPrEx>
          <w:tblCellMar>
            <w:top w:w="0" w:type="dxa"/>
            <w:left w:w="108" w:type="dxa"/>
            <w:bottom w:w="0" w:type="dxa"/>
            <w:right w:w="108" w:type="dxa"/>
          </w:tblCellMar>
        </w:tblPrEx>
        <w:trPr>
          <w:trHeight w:val="312" w:hRule="atLeast"/>
        </w:trPr>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 w:cs="Times New Roman"/>
                <w:b/>
                <w:bCs/>
                <w:color w:val="auto"/>
                <w:sz w:val="24"/>
                <w:szCs w:val="24"/>
                <w:lang w:eastAsia="zh-CN"/>
              </w:rPr>
            </w:pP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 w:cs="Times New Roman"/>
                <w:b/>
                <w:bCs/>
                <w:color w:val="auto"/>
                <w:sz w:val="24"/>
                <w:szCs w:val="24"/>
                <w:lang w:eastAsia="zh-CN"/>
              </w:rPr>
            </w:pPr>
          </w:p>
        </w:tc>
        <w:tc>
          <w:tcPr>
            <w:tcW w:w="1576"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 w:cs="Times New Roman"/>
                <w:b/>
                <w:bCs/>
                <w:color w:val="auto"/>
                <w:sz w:val="24"/>
                <w:szCs w:val="24"/>
                <w:lang w:eastAsia="zh-CN"/>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 w:cs="Times New Roman"/>
                <w:b/>
                <w:bCs/>
                <w:color w:val="auto"/>
                <w:sz w:val="24"/>
                <w:szCs w:val="24"/>
                <w:lang w:eastAsia="zh-CN"/>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 w:cs="Times New Roman"/>
                <w:b/>
                <w:bCs/>
                <w:color w:val="auto"/>
                <w:sz w:val="24"/>
                <w:szCs w:val="24"/>
                <w:lang w:eastAsia="zh-CN"/>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eastAsia="仿宋" w:cs="Times New Roman"/>
                <w:b/>
                <w:bCs/>
                <w:color w:val="auto"/>
                <w:sz w:val="24"/>
                <w:szCs w:val="24"/>
                <w:lang w:eastAsia="zh-CN"/>
              </w:rPr>
            </w:pP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孟锦鑫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377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马策</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基础兽医学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张国星</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367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临床兽医学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秦怀瑞</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363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张妍</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353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刘健</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孙子涵</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332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临床兽医学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刘慧敏</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331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临床兽医学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郭彩虹</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基础兽医学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张瑜</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常晓云</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郑宇航</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王馨锐</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李君</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闫伟兰</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赵天祎</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刘星彤</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临床兽医学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李嘉慧</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苏华彬</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王祥玉</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孙新沅</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临床兽医学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何芳</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毕方龙</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基础兽医学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董沛雨</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临床兽医学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李念峰</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265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孙宇喆</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259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兽医学</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预防兽医学</w:t>
            </w: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学术学位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谭越</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392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吴怡</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378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蔺雅婷</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370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孙雨点</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366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林姝君</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364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张泽崧</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363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李芳玉</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358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何可鑫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356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丁玉祎</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352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王威</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352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刘香</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张文莉</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黄夏美</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侯明晓</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赵丽媛</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张晴</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杨婷瑜</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韩乐天</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341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于德涛</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339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宋茜</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338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杨大为</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336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张皓杰</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333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49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张成鑫</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332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李继桐</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330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张润润</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黄国瑞</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闫雪莹</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于权麟</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甄建瑜</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鲁成运</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兰政慧</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曲思静</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59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郭存杰</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320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李欣悦</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王丽华</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陈超</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娄敏</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于欢坤</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吕硕林</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蒋卓宏</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郭玉欣</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鹿奉哲</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69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陈芮</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刘斌</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相洪晓</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梁晟霖</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姚端阳</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300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苏雪</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王思爽</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孙晓瑜</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于泽海</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张红</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79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门旭坤</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刘翔宇</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宋奇珊</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陶勇</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李龙</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王正东</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韩文昌</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孙军航</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靳荣理</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290</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潘影</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89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王福凯</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286</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常家高</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矫晓倩</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283</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毕国栋</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车明跃</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278</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丁常根</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孙远</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96</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张国瑞</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97</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张玫瑜</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98</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孙云飞</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99</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刘阳</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李思涵</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272</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101</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高涛</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314</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非全日制专业学位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102</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王发家</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285</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非全日制专业学位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103</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王立水</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279</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非全日制专业学位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104</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eastAsia="zh-CN"/>
              </w:rPr>
              <w:t>周阿贤</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eastAsia="zh-CN"/>
              </w:rPr>
              <w:t>261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eastAsia="zh-CN"/>
              </w:rPr>
              <w:t>非全日制专业学位</w:t>
            </w:r>
          </w:p>
        </w:tc>
      </w:tr>
      <w:tr>
        <w:tblPrEx>
          <w:tblCellMar>
            <w:top w:w="0" w:type="dxa"/>
            <w:left w:w="108" w:type="dxa"/>
            <w:bottom w:w="0" w:type="dxa"/>
            <w:right w:w="108" w:type="dxa"/>
          </w:tblCellMar>
        </w:tblPrEx>
        <w:trPr>
          <w:trHeight w:val="255" w:hRule="atLeast"/>
        </w:trPr>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eastAsia="zh-CN"/>
              </w:rPr>
            </w:pPr>
            <w:r>
              <w:rPr>
                <w:rFonts w:hint="default" w:ascii="Times New Roman" w:hAnsi="Times New Roman" w:eastAsia="宋体" w:cs="Times New Roman"/>
                <w:color w:val="auto"/>
                <w:sz w:val="20"/>
                <w:szCs w:val="20"/>
                <w:lang w:eastAsia="zh-CN"/>
              </w:rPr>
              <w:t>105</w:t>
            </w: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eastAsia="zh-CN"/>
              </w:rPr>
              <w:t>曹乔乔</w:t>
            </w:r>
          </w:p>
        </w:tc>
        <w:tc>
          <w:tcPr>
            <w:tcW w:w="157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eastAsia="zh-CN"/>
              </w:rPr>
              <w:t>257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eastAsia="zh-CN"/>
              </w:rPr>
              <w:t>兽医</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p>
        </w:tc>
        <w:tc>
          <w:tcPr>
            <w:tcW w:w="198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center"/>
              <w:rPr>
                <w:rFonts w:hint="default" w:ascii="Times New Roman" w:hAnsi="Times New Roman" w:eastAsia="宋体" w:cs="Times New Roman"/>
                <w:color w:val="auto"/>
                <w:sz w:val="20"/>
                <w:szCs w:val="20"/>
                <w:lang w:val="en-US" w:eastAsia="zh-CN" w:bidi="ar-SA"/>
              </w:rPr>
            </w:pPr>
            <w:r>
              <w:rPr>
                <w:rFonts w:hint="default" w:ascii="Times New Roman" w:hAnsi="Times New Roman" w:eastAsia="宋体" w:cs="Times New Roman"/>
                <w:color w:val="auto"/>
                <w:sz w:val="20"/>
                <w:szCs w:val="20"/>
                <w:lang w:eastAsia="zh-CN"/>
              </w:rPr>
              <w:t>非全日制专业学位</w:t>
            </w:r>
          </w:p>
        </w:tc>
      </w:tr>
    </w:tbl>
    <w:p>
      <w:pPr>
        <w:rPr>
          <w:rFonts w:hint="default" w:ascii="Times New Roman" w:hAnsi="Times New Roman" w:cs="Times New Roman"/>
          <w:color w:val="auto"/>
        </w:rPr>
      </w:pPr>
    </w:p>
    <w:sectPr>
      <w:pgSz w:w="11910" w:h="16840"/>
      <w:pgMar w:top="1440" w:right="1080" w:bottom="1440" w:left="10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39"/>
    <w:rsid w:val="000F7560"/>
    <w:rsid w:val="0013365A"/>
    <w:rsid w:val="00256CB5"/>
    <w:rsid w:val="002A3026"/>
    <w:rsid w:val="005B0440"/>
    <w:rsid w:val="00626C70"/>
    <w:rsid w:val="00822939"/>
    <w:rsid w:val="009221E9"/>
    <w:rsid w:val="00D66FCC"/>
    <w:rsid w:val="00F73880"/>
    <w:rsid w:val="019E2AD0"/>
    <w:rsid w:val="02B7098F"/>
    <w:rsid w:val="04BE4801"/>
    <w:rsid w:val="0C5219FC"/>
    <w:rsid w:val="0CBD0AE4"/>
    <w:rsid w:val="13E032D5"/>
    <w:rsid w:val="228035F1"/>
    <w:rsid w:val="23265A37"/>
    <w:rsid w:val="262822B0"/>
    <w:rsid w:val="26750DA3"/>
    <w:rsid w:val="30870D9B"/>
    <w:rsid w:val="33896B41"/>
    <w:rsid w:val="364D699E"/>
    <w:rsid w:val="3B593996"/>
    <w:rsid w:val="4DA67962"/>
    <w:rsid w:val="4EFE6799"/>
    <w:rsid w:val="5F847A90"/>
    <w:rsid w:val="62F639E3"/>
    <w:rsid w:val="63865AFD"/>
    <w:rsid w:val="663D0ADC"/>
    <w:rsid w:val="694E7BE4"/>
    <w:rsid w:val="6B6C24E6"/>
    <w:rsid w:val="6D397404"/>
    <w:rsid w:val="74B10FC0"/>
    <w:rsid w:val="77966959"/>
    <w:rsid w:val="7BB03301"/>
    <w:rsid w:val="7C3D1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753"/>
      <w:outlineLvl w:val="0"/>
    </w:pPr>
    <w:rPr>
      <w:rFonts w:ascii="仿宋" w:hAnsi="仿宋" w:eastAsia="仿宋"/>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1"/>
      <w:ind w:left="112"/>
    </w:pPr>
    <w:rPr>
      <w:rFonts w:ascii="仿宋" w:hAnsi="仿宋" w:eastAsia="仿宋"/>
      <w:sz w:val="32"/>
      <w:szCs w:val="32"/>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1147</Words>
  <Characters>6538</Characters>
  <Lines>54</Lines>
  <Paragraphs>15</Paragraphs>
  <TotalTime>1</TotalTime>
  <ScaleCrop>false</ScaleCrop>
  <LinksUpToDate>false</LinksUpToDate>
  <CharactersWithSpaces>7670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2021-03-24T10:39:00Z</dcterms:created>
  <dc:creator>MSoffice</dc:creator>
  <cp:lastModifiedBy>小破孩</cp:lastModifiedBy>
  <cp:lastPrinted>2021-03-25T02:51:52Z</cp:lastPrinted>
  <dcterms:modified xsi:type="dcterms:W3CDTF">2021-03-25T03:13:55Z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WPS 文字</vt:lpwstr>
  </property>
  <property fmtid="{D5CDD505-2E9C-101B-9397-08002B2CF9AE}" pid="4" name="LastSaved">
    <vt:filetime>2021-03-24T00:00:00Z</vt:filetime>
  </property>
  <property fmtid="{D5CDD505-2E9C-101B-9397-08002B2CF9AE}" pid="5" name="KSOProductBuildVer">
    <vt:lpwstr>2052-11.1.0.10356</vt:lpwstr>
  </property>
  <property fmtid="{D5CDD505-2E9C-101B-9397-08002B2CF9AE}" pid="6" name="ICV">
    <vt:lpwstr>4B9DAEF2655A4A01BDDF209578BA669F</vt:lpwstr>
  </property>
</Properties>
</file>